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薛城区人力资源和社会保障局</w:t>
      </w:r>
    </w:p>
    <w:p>
      <w:pPr>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2022年</w:t>
      </w:r>
      <w:r>
        <w:rPr>
          <w:rFonts w:hint="eastAsia" w:ascii="方正小标宋简体" w:hAnsi="方正小标宋简体" w:eastAsia="方正小标宋简体" w:cs="方正小标宋简体"/>
          <w:color w:val="auto"/>
          <w:sz w:val="44"/>
          <w:szCs w:val="44"/>
        </w:rPr>
        <w:t>政府信息公开工作年度报告</w:t>
      </w:r>
    </w:p>
    <w:p>
      <w:pPr>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default" w:ascii="Times New Roman" w:hAnsi="Times New Roman" w:eastAsia="方正小标宋简体" w:cs="Times New Roman"/>
          <w:color w:val="auto"/>
          <w:sz w:val="44"/>
          <w:szCs w:val="44"/>
        </w:rPr>
      </w:pPr>
      <w:r>
        <w:rPr>
          <w:rFonts w:ascii="仿宋_GB2312" w:hAnsi="仿宋_GB2312" w:eastAsia="仿宋_GB2312" w:cs="仿宋_GB2312"/>
          <w:color w:val="000000"/>
          <w:kern w:val="0"/>
          <w:sz w:val="31"/>
          <w:szCs w:val="31"/>
          <w:lang w:val="en-US" w:eastAsia="zh-CN" w:bidi="ar"/>
        </w:rPr>
        <w:t>根据《国务院办公厅政府信息与政务公开办公室关于印发＜中华人民共和国政府信息公开工作年度报告格式＞的通知》（国办公开办函〔2021〕30 号）和省政府有关要求，</w:t>
      </w:r>
      <w:r>
        <w:rPr>
          <w:rFonts w:hint="default" w:ascii="Times New Roman" w:hAnsi="Times New Roman" w:eastAsia="仿宋_GB2312" w:cs="Times New Roman"/>
          <w:color w:val="auto"/>
          <w:kern w:val="0"/>
          <w:sz w:val="32"/>
          <w:szCs w:val="32"/>
        </w:rPr>
        <w:t>现就推进政府信息公开工作情况，向社会公布薛城区人力资源和社会保障局202</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年政府信息公开工作年度报告。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202</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年1月1日起至202</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年12月31日止。本年度报告的电子版可以在“薛城区政府门户网站”</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http://xxgk.xuecheng.gov.cn/xxgknb/2021xxgknb/</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下载</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如对本报告有疑问，可与</w:t>
      </w:r>
      <w:r>
        <w:rPr>
          <w:rFonts w:hint="default" w:ascii="Times New Roman" w:hAnsi="Times New Roman" w:eastAsia="仿宋_GB2312" w:cs="Times New Roman"/>
          <w:color w:val="auto"/>
          <w:kern w:val="0"/>
          <w:sz w:val="32"/>
          <w:szCs w:val="32"/>
          <w:lang w:eastAsia="zh-CN"/>
        </w:rPr>
        <w:t>薛城</w:t>
      </w:r>
      <w:r>
        <w:rPr>
          <w:rFonts w:hint="default" w:ascii="Times New Roman" w:hAnsi="Times New Roman" w:eastAsia="仿宋_GB2312" w:cs="Times New Roman"/>
          <w:color w:val="auto"/>
          <w:kern w:val="0"/>
          <w:sz w:val="32"/>
          <w:szCs w:val="32"/>
        </w:rPr>
        <w:t>区人力资源和社会保障局联系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地址：薛城区珠江路599号SOHO珠江D1楼</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邮政编码：2770</w:t>
      </w:r>
      <w:r>
        <w:rPr>
          <w:rFonts w:hint="default" w:ascii="Times New Roman" w:hAnsi="Times New Roman" w:eastAsia="仿宋_GB2312" w:cs="Times New Roman"/>
          <w:color w:val="auto"/>
          <w:kern w:val="0"/>
          <w:sz w:val="32"/>
          <w:szCs w:val="32"/>
          <w:lang w:val="en-US" w:eastAsia="zh-CN"/>
        </w:rPr>
        <w:t>00</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电话（传真）：0632</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4411804；电子邮箱：xcqrsjadmin@zz.shandong.cn</w:t>
      </w:r>
      <w:r>
        <w:rPr>
          <w:rFonts w:hint="default" w:ascii="Times New Roman" w:hAnsi="Times New Roman" w:eastAsia="仿宋_GB2312" w:cs="Times New Roman"/>
          <w:color w:val="auto"/>
          <w:kern w:val="0"/>
          <w:sz w:val="32"/>
          <w:szCs w:val="32"/>
          <w:lang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jc w:val="left"/>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一、</w:t>
      </w:r>
      <w:r>
        <w:rPr>
          <w:rFonts w:hint="default" w:ascii="Times New Roman" w:hAnsi="Times New Roman" w:eastAsia="黑体" w:cs="Times New Roman"/>
          <w:b w:val="0"/>
          <w:bCs w:val="0"/>
          <w:color w:val="auto"/>
        </w:rPr>
        <w:t>总体情况</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年，薛城区人力资源和社会保障局政府信息公开工作在区委、区政府及局党组的正确领导和区政府办公室政务公开办公室的精心指导下，认真贯彻落实《中华人民共和国政府信息公开条例》，坚持以人民为中心的发展思想和以公开为常态、不公开为例外的原则，全面推进决策、执行、管理、服务、结果全过程公开。进一步细化信息公开标准、严密信息公开程序、强化信息公开监督，全力保障人民群众的知情权、参与权和监督权，切实增强人民群众的获得感和对政府工作的满意度，更好地为公众提供便利、高效的服务。</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rPr>
        <w:t>1.主动公开</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区人社局紧紧围绕“民生为本，人才优先”工作主线，以优化营商环境为切入点，深化重点领域信息公开。</w:t>
      </w:r>
      <w:r>
        <w:rPr>
          <w:rFonts w:hint="default" w:ascii="Times New Roman" w:hAnsi="Times New Roman" w:eastAsia="仿宋_GB2312" w:cs="Times New Roman"/>
          <w:b w:val="0"/>
          <w:bCs w:val="0"/>
          <w:color w:val="auto"/>
          <w:sz w:val="32"/>
          <w:szCs w:val="32"/>
          <w:lang w:val="en-US" w:eastAsia="zh-CN"/>
        </w:rPr>
        <w:t>202</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年主动公开信息</w:t>
      </w:r>
      <w:r>
        <w:rPr>
          <w:rFonts w:hint="eastAsia" w:ascii="Times New Roman" w:hAnsi="Times New Roman" w:eastAsia="仿宋_GB2312" w:cs="Times New Roman"/>
          <w:b w:val="0"/>
          <w:bCs w:val="0"/>
          <w:color w:val="auto"/>
          <w:sz w:val="32"/>
          <w:szCs w:val="32"/>
          <w:lang w:val="en-US" w:eastAsia="zh-CN"/>
        </w:rPr>
        <w:t>498</w:t>
      </w:r>
      <w:r>
        <w:rPr>
          <w:rFonts w:hint="default" w:ascii="Times New Roman" w:hAnsi="Times New Roman" w:eastAsia="仿宋_GB2312" w:cs="Times New Roman"/>
          <w:b w:val="0"/>
          <w:bCs w:val="0"/>
          <w:color w:val="auto"/>
          <w:sz w:val="32"/>
          <w:szCs w:val="32"/>
          <w:lang w:val="en-US" w:eastAsia="zh-CN"/>
        </w:rPr>
        <w:t>条，包括会议公开2条，政策文件</w:t>
      </w:r>
      <w:r>
        <w:rPr>
          <w:rFonts w:hint="eastAsia" w:ascii="Times New Roman" w:hAnsi="Times New Roman" w:eastAsia="仿宋_GB2312" w:cs="Times New Roman"/>
          <w:b w:val="0"/>
          <w:bCs w:val="0"/>
          <w:color w:val="auto"/>
          <w:sz w:val="32"/>
          <w:szCs w:val="32"/>
          <w:lang w:val="en-US" w:eastAsia="zh-CN"/>
        </w:rPr>
        <w:t>41</w:t>
      </w:r>
      <w:r>
        <w:rPr>
          <w:rFonts w:hint="default" w:ascii="Times New Roman" w:hAnsi="Times New Roman" w:eastAsia="仿宋_GB2312" w:cs="Times New Roman"/>
          <w:b w:val="0"/>
          <w:bCs w:val="0"/>
          <w:color w:val="auto"/>
          <w:sz w:val="32"/>
          <w:szCs w:val="32"/>
          <w:lang w:val="en-US" w:eastAsia="zh-CN"/>
        </w:rPr>
        <w:t>条，政策解读</w:t>
      </w:r>
      <w:r>
        <w:rPr>
          <w:rFonts w:hint="eastAsia" w:ascii="Times New Roman" w:hAnsi="Times New Roman" w:eastAsia="仿宋_GB2312" w:cs="Times New Roman"/>
          <w:b w:val="0"/>
          <w:bCs w:val="0"/>
          <w:color w:val="auto"/>
          <w:sz w:val="32"/>
          <w:szCs w:val="32"/>
          <w:lang w:val="en-US" w:eastAsia="zh-CN"/>
        </w:rPr>
        <w:t>16</w:t>
      </w:r>
      <w:r>
        <w:rPr>
          <w:rFonts w:hint="default" w:ascii="Times New Roman" w:hAnsi="Times New Roman" w:eastAsia="仿宋_GB2312" w:cs="Times New Roman"/>
          <w:b w:val="0"/>
          <w:bCs w:val="0"/>
          <w:color w:val="auto"/>
          <w:sz w:val="32"/>
          <w:szCs w:val="32"/>
          <w:lang w:val="en-US" w:eastAsia="zh-CN"/>
        </w:rPr>
        <w:t>条，规划计划</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条，财政信息</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条，人事信息</w:t>
      </w:r>
      <w:r>
        <w:rPr>
          <w:rFonts w:hint="eastAsia" w:ascii="Times New Roman" w:hAnsi="Times New Roman" w:eastAsia="仿宋_GB2312" w:cs="Times New Roman"/>
          <w:b w:val="0"/>
          <w:bCs w:val="0"/>
          <w:color w:val="auto"/>
          <w:sz w:val="32"/>
          <w:szCs w:val="32"/>
          <w:lang w:val="en-US" w:eastAsia="zh-CN"/>
        </w:rPr>
        <w:t>152</w:t>
      </w:r>
      <w:r>
        <w:rPr>
          <w:rFonts w:hint="default" w:ascii="Times New Roman" w:hAnsi="Times New Roman" w:eastAsia="仿宋_GB2312" w:cs="Times New Roman"/>
          <w:b w:val="0"/>
          <w:bCs w:val="0"/>
          <w:color w:val="auto"/>
          <w:sz w:val="32"/>
          <w:szCs w:val="32"/>
          <w:lang w:val="en-US" w:eastAsia="zh-CN"/>
        </w:rPr>
        <w:t>条，重要部署执行</w:t>
      </w:r>
      <w:r>
        <w:rPr>
          <w:rFonts w:hint="eastAsia"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val="en-US" w:eastAsia="zh-CN"/>
        </w:rPr>
        <w:t>条，行政权力</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条，建议提案6条，重点领域</w:t>
      </w:r>
      <w:r>
        <w:rPr>
          <w:rFonts w:hint="eastAsia" w:ascii="Times New Roman" w:hAnsi="Times New Roman" w:eastAsia="仿宋_GB2312" w:cs="Times New Roman"/>
          <w:b w:val="0"/>
          <w:bCs w:val="0"/>
          <w:color w:val="auto"/>
          <w:sz w:val="32"/>
          <w:szCs w:val="32"/>
          <w:lang w:val="en-US" w:eastAsia="zh-CN"/>
        </w:rPr>
        <w:t>255</w:t>
      </w:r>
      <w:r>
        <w:rPr>
          <w:rFonts w:hint="default" w:ascii="Times New Roman" w:hAnsi="Times New Roman" w:eastAsia="仿宋_GB2312" w:cs="Times New Roman"/>
          <w:b w:val="0"/>
          <w:bCs w:val="0"/>
          <w:color w:val="auto"/>
          <w:sz w:val="32"/>
          <w:szCs w:val="32"/>
          <w:lang w:val="en-US" w:eastAsia="zh-CN"/>
        </w:rPr>
        <w:t>条，组织管理</w:t>
      </w:r>
      <w:r>
        <w:rPr>
          <w:rFonts w:hint="eastAsia"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lang w:val="en-US" w:eastAsia="zh-CN"/>
        </w:rPr>
        <w:t>条，政务公开基本目录3条。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2.依申请公开</w:t>
      </w:r>
      <w:r>
        <w:rPr>
          <w:rFonts w:hint="default" w:ascii="Times New Roman" w:hAnsi="Times New Roman" w:eastAsia="楷体_GB2312" w:cs="Times New Roman"/>
          <w:b w:val="0"/>
          <w:bCs w:val="0"/>
          <w:color w:val="auto"/>
          <w:sz w:val="32"/>
          <w:szCs w:val="32"/>
          <w:highlight w:val="none"/>
          <w:lang w:eastAsia="zh-CN"/>
        </w:rPr>
        <w:t>情况</w:t>
      </w:r>
      <w:r>
        <w:rPr>
          <w:rFonts w:hint="default" w:ascii="Times New Roman" w:hAnsi="Times New Roman" w:eastAsia="楷体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年区人社局共收到依申请信息公开</w:t>
      </w:r>
      <w:r>
        <w:rPr>
          <w:rFonts w:hint="eastAsia"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件，1件属于主动公开信息，已告知申请人获取信息的方式、途径。</w:t>
      </w:r>
      <w:r>
        <w:rPr>
          <w:rFonts w:hint="eastAsia"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件均按规定时限答复，无涉及政府信息公开的行政复议、行政诉讼案件。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rPr>
        <w:t>3.政府信息管理</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rPr>
        <w:t>完善各股室、局属各单位各司其职、分工协作的信息管理体系，严格执行政府信息公开</w:t>
      </w:r>
      <w:r>
        <w:rPr>
          <w:rFonts w:hint="default" w:ascii="Times New Roman" w:hAnsi="Times New Roman" w:eastAsia="仿宋_GB2312" w:cs="Times New Roman"/>
          <w:color w:val="auto"/>
          <w:sz w:val="32"/>
          <w:szCs w:val="32"/>
          <w:lang w:eastAsia="zh-CN"/>
        </w:rPr>
        <w:t>审查</w:t>
      </w:r>
      <w:r>
        <w:rPr>
          <w:rFonts w:hint="default" w:ascii="Times New Roman" w:hAnsi="Times New Roman" w:eastAsia="仿宋_GB2312" w:cs="Times New Roman"/>
          <w:color w:val="auto"/>
          <w:sz w:val="32"/>
          <w:szCs w:val="32"/>
        </w:rPr>
        <w:t>制度</w:t>
      </w:r>
      <w:r>
        <w:rPr>
          <w:rFonts w:hint="default" w:ascii="Times New Roman" w:hAnsi="Times New Roman" w:eastAsia="仿宋_GB2312" w:cs="Times New Roman"/>
          <w:color w:val="auto"/>
          <w:sz w:val="32"/>
          <w:szCs w:val="32"/>
          <w:lang w:eastAsia="zh-CN"/>
        </w:rPr>
        <w:t>，规范信息报送流程，由各股室、各单位负责同志对主动公开的信息内容和依申请公开答复事项进行信息初审，经分管领导审核同意后报局政务公开工作领导小组办公室进行保密审查，</w:t>
      </w:r>
      <w:r>
        <w:rPr>
          <w:rFonts w:hint="default" w:ascii="Times New Roman" w:hAnsi="Times New Roman" w:eastAsia="仿宋_GB2312" w:cs="Times New Roman"/>
          <w:color w:val="auto"/>
          <w:sz w:val="32"/>
          <w:szCs w:val="32"/>
        </w:rPr>
        <w:t>切实做到人人有责、层层负责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规范有序、高效透明，确保信息内容准确合规。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rPr>
        <w:t>4.政府信息公开平台建设</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lang w:eastAsia="zh-CN"/>
        </w:rPr>
        <w:t>区人社局</w:t>
      </w:r>
      <w:r>
        <w:rPr>
          <w:rFonts w:hint="default" w:ascii="Times New Roman" w:hAnsi="Times New Roman" w:eastAsia="仿宋_GB2312" w:cs="Times New Roman"/>
          <w:color w:val="auto"/>
          <w:sz w:val="32"/>
          <w:szCs w:val="32"/>
        </w:rPr>
        <w:t>无独立门户网站，</w:t>
      </w:r>
      <w:r>
        <w:rPr>
          <w:rFonts w:hint="default" w:ascii="Times New Roman" w:hAnsi="Times New Roman" w:eastAsia="仿宋_GB2312" w:cs="Times New Roman"/>
          <w:color w:val="auto"/>
          <w:sz w:val="32"/>
          <w:szCs w:val="32"/>
          <w:lang w:eastAsia="zh-CN"/>
        </w:rPr>
        <w:t>政务公开信息主要通过区政府门户网站发布。</w:t>
      </w:r>
      <w:r>
        <w:rPr>
          <w:rFonts w:hint="default" w:ascii="Times New Roman" w:hAnsi="Times New Roman" w:eastAsia="楷体_GB2312" w:cs="Times New Roman"/>
          <w:b w:val="0"/>
          <w:bCs w:val="0"/>
          <w:color w:val="auto"/>
          <w:sz w:val="32"/>
          <w:szCs w:val="32"/>
        </w:rPr>
        <w:t>2</w:t>
      </w:r>
      <w:r>
        <w:rPr>
          <w:rFonts w:hint="default" w:ascii="Times New Roman" w:hAnsi="Times New Roman" w:eastAsia="仿宋_GB2312" w:cs="Times New Roman"/>
          <w:color w:val="auto"/>
          <w:sz w:val="32"/>
          <w:szCs w:val="32"/>
        </w:rPr>
        <w:t>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区人社局严格按照区政府集约化智能门户平台</w:t>
      </w:r>
      <w:r>
        <w:rPr>
          <w:rFonts w:hint="default" w:ascii="Times New Roman" w:hAnsi="Times New Roman" w:eastAsia="仿宋_GB2312" w:cs="Times New Roman"/>
          <w:color w:val="auto"/>
          <w:sz w:val="32"/>
          <w:szCs w:val="32"/>
        </w:rPr>
        <w:t>板块及栏目设置</w:t>
      </w:r>
      <w:r>
        <w:rPr>
          <w:rFonts w:hint="default" w:ascii="Times New Roman" w:hAnsi="Times New Roman" w:eastAsia="仿宋_GB2312" w:cs="Times New Roman"/>
          <w:color w:val="auto"/>
          <w:sz w:val="32"/>
          <w:szCs w:val="32"/>
          <w:lang w:eastAsia="zh-CN"/>
        </w:rPr>
        <w:t>公开各项政务信息</w:t>
      </w:r>
      <w:r>
        <w:rPr>
          <w:rFonts w:hint="default" w:ascii="Times New Roman" w:hAnsi="Times New Roman" w:eastAsia="仿宋_GB2312" w:cs="Times New Roman"/>
          <w:color w:val="auto"/>
          <w:sz w:val="32"/>
          <w:szCs w:val="32"/>
        </w:rPr>
        <w:t>，确保应有公开栏目不漏项，</w:t>
      </w:r>
      <w:r>
        <w:rPr>
          <w:rFonts w:hint="default" w:ascii="Times New Roman" w:hAnsi="Times New Roman" w:eastAsia="仿宋_GB2312" w:cs="Times New Roman"/>
          <w:color w:val="auto"/>
          <w:sz w:val="32"/>
          <w:szCs w:val="32"/>
          <w:lang w:eastAsia="zh-CN"/>
        </w:rPr>
        <w:t>信息报送保质保量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积极推动政务新媒体建设</w:t>
      </w:r>
      <w:r>
        <w:rPr>
          <w:rFonts w:hint="eastAsia" w:ascii="Times New Roman" w:hAnsi="Times New Roman" w:eastAsia="仿宋_GB2312" w:cs="Times New Roman"/>
          <w:color w:val="auto"/>
          <w:sz w:val="32"/>
          <w:szCs w:val="32"/>
          <w:lang w:eastAsia="zh-CN"/>
        </w:rPr>
        <w:t>，通过</w:t>
      </w:r>
      <w:r>
        <w:rPr>
          <w:rFonts w:hint="default" w:ascii="Times New Roman" w:hAnsi="Times New Roman" w:eastAsia="仿宋_GB2312" w:cs="Times New Roman"/>
          <w:color w:val="auto"/>
          <w:sz w:val="32"/>
          <w:szCs w:val="32"/>
          <w:lang w:val="en-US" w:eastAsia="zh-CN"/>
        </w:rPr>
        <w:t>“薛城人社发布”微信公众号及时与微信用户进行“互动”，回复用户关心的就业创业、社会保障、劳动维权、人事人才等问题。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lang w:eastAsia="zh-CN"/>
        </w:rPr>
      </w:pPr>
      <w:r>
        <w:rPr>
          <w:rFonts w:hint="default" w:ascii="Times New Roman" w:hAnsi="Times New Roman" w:eastAsia="楷体_GB2312" w:cs="Times New Roman"/>
          <w:b w:val="0"/>
          <w:bCs w:val="0"/>
          <w:color w:val="auto"/>
          <w:sz w:val="32"/>
          <w:szCs w:val="32"/>
        </w:rPr>
        <w:t>5.监督保障</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lang w:eastAsia="zh-CN"/>
        </w:rPr>
        <w:t>根据人员变动及时调整局政务公开工作领导小组，强化组织领导，明确责任分工。定期组织政务公开信息员业务培训，强化保密意识，提升业务水平。主动接受区政务公开办及上级人社部门对我局政务信息公开情况的监督，对照监督检测出的问题及时认真做好整改工作。</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jc w:val="left"/>
        <w:textAlignment w:val="auto"/>
        <w:rPr>
          <w:rFonts w:hint="eastAsia"/>
          <w:color w:val="auto"/>
        </w:rPr>
      </w:pPr>
      <w:r>
        <w:rPr>
          <w:rFonts w:hint="eastAsia" w:ascii="黑体" w:hAnsi="黑体" w:eastAsia="黑体" w:cs="黑体"/>
          <w:b w:val="0"/>
          <w:bCs w:val="0"/>
          <w:color w:val="auto"/>
          <w:lang w:eastAsia="zh-CN"/>
        </w:rPr>
        <w:t>二、</w:t>
      </w:r>
      <w:r>
        <w:rPr>
          <w:rFonts w:hint="eastAsia" w:ascii="黑体" w:hAnsi="黑体" w:eastAsia="黑体" w:cs="黑体"/>
          <w:b w:val="0"/>
          <w:bCs w:val="0"/>
          <w:color w:val="auto"/>
        </w:rPr>
        <w:t>行政机关主动公开政府信息情况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1</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82"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lang w:val="en-US" w:eastAsia="zh-CN"/>
              </w:rPr>
              <w:t>26.869</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jc w:val="left"/>
        <w:textAlignment w:val="auto"/>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lang w:eastAsia="zh-CN"/>
        </w:rPr>
        <w:t>三、</w:t>
      </w:r>
      <w:r>
        <w:rPr>
          <w:rFonts w:hint="eastAsia" w:ascii="黑体" w:hAnsi="黑体" w:eastAsia="黑体" w:cs="黑体"/>
          <w:b w:val="0"/>
          <w:bCs w:val="0"/>
          <w:color w:val="auto"/>
          <w:highlight w:val="none"/>
        </w:rPr>
        <w:t>行政机关收到和处理政府信息公开申请情况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567"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107" w:leftChars="-51" w:right="-107" w:rightChars="-51"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107" w:leftChars="-51" w:right="-107" w:rightChars="-51"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107" w:leftChars="-51" w:right="-107" w:rightChars="-51"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107" w:leftChars="-51" w:right="-107" w:rightChars="-51"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63" w:leftChars="-30" w:right="-134" w:rightChars="-64"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一、本年新收政府信息公开申请数量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restart"/>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after="180" w:line="360" w:lineRule="auto"/>
              <w:ind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4677" w:type="dxa"/>
            <w:gridSpan w:val="2"/>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（二）部分公开（区分处理的，只计这一情形，不计其他情形）</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107" w:leftChars="-51"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kern w:val="0"/>
                <w:szCs w:val="21"/>
              </w:rPr>
            </w:pPr>
            <w:r>
              <w:rPr>
                <w:rFonts w:hint="eastAsia" w:ascii="仿宋_GB2312" w:hAnsi="黑体" w:eastAsia="仿宋_GB2312"/>
                <w:color w:val="auto"/>
                <w:kern w:val="0"/>
                <w:szCs w:val="21"/>
              </w:rPr>
              <w:t>2.其他法律行政法规禁止公开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kern w:val="0"/>
                <w:szCs w:val="21"/>
              </w:rPr>
            </w:pPr>
            <w:r>
              <w:rPr>
                <w:rFonts w:hint="eastAsia" w:ascii="仿宋_GB2312" w:hAnsi="黑体" w:eastAsia="仿宋_GB2312"/>
                <w:color w:val="auto"/>
                <w:kern w:val="0"/>
                <w:szCs w:val="21"/>
              </w:rPr>
              <w:t>4.保护第三方合法权益</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kern w:val="0"/>
                <w:szCs w:val="21"/>
              </w:rPr>
            </w:pPr>
            <w:r>
              <w:rPr>
                <w:rFonts w:hint="eastAsia" w:ascii="仿宋_GB2312" w:hAnsi="黑体" w:eastAsia="仿宋_GB2312"/>
                <w:color w:val="auto"/>
                <w:kern w:val="0"/>
                <w:szCs w:val="21"/>
              </w:rPr>
              <w:t>6.属于四类过程性信息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kern w:val="0"/>
                <w:szCs w:val="21"/>
              </w:rPr>
            </w:pPr>
            <w:r>
              <w:rPr>
                <w:rFonts w:hint="eastAsia" w:ascii="仿宋_GB2312" w:hAnsi="黑体" w:eastAsia="仿宋_GB2312"/>
                <w:color w:val="auto"/>
                <w:kern w:val="0"/>
                <w:szCs w:val="21"/>
              </w:rPr>
              <w:t>8.属于行政查询事项</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107" w:leftChars="-51"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left="-107" w:leftChars="-51" w:firstLine="0" w:firstLineChars="0"/>
              <w:jc w:val="center"/>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kern w:val="0"/>
                <w:szCs w:val="21"/>
              </w:rPr>
            </w:pPr>
            <w:r>
              <w:rPr>
                <w:rFonts w:hint="eastAsia" w:ascii="仿宋_GB2312" w:hAnsi="黑体" w:eastAsia="仿宋_GB2312"/>
                <w:color w:val="auto"/>
                <w:kern w:val="0"/>
                <w:szCs w:val="21"/>
              </w:rPr>
              <w:t>2.没有现成信息需要另行制作</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left="-107" w:leftChars="-51" w:firstLine="0" w:firstLineChars="0"/>
              <w:jc w:val="center"/>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kern w:val="0"/>
                <w:szCs w:val="21"/>
              </w:rPr>
            </w:pPr>
            <w:r>
              <w:rPr>
                <w:rFonts w:hint="eastAsia" w:ascii="仿宋_GB2312" w:hAnsi="黑体" w:eastAsia="仿宋_GB2312"/>
                <w:color w:val="auto"/>
                <w:kern w:val="0"/>
                <w:szCs w:val="21"/>
              </w:rPr>
              <w:t>3.补正后申请内容仍不明确</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107" w:leftChars="-51" w:firstLine="0" w:firstLineChars="0"/>
              <w:jc w:val="center"/>
              <w:textAlignment w:val="auto"/>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kern w:val="0"/>
                <w:szCs w:val="21"/>
              </w:rPr>
            </w:pPr>
            <w:r>
              <w:rPr>
                <w:rFonts w:hint="eastAsia" w:ascii="仿宋_GB2312" w:hAnsi="黑体" w:eastAsia="仿宋_GB2312"/>
                <w:color w:val="auto"/>
                <w:kern w:val="0"/>
                <w:szCs w:val="21"/>
              </w:rPr>
              <w:t>1.信访举报投诉类申请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kern w:val="0"/>
                <w:szCs w:val="21"/>
              </w:rPr>
            </w:pPr>
          </w:p>
        </w:tc>
        <w:tc>
          <w:tcPr>
            <w:tcW w:w="2976"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kern w:val="0"/>
                <w:szCs w:val="21"/>
              </w:rPr>
            </w:pPr>
          </w:p>
        </w:tc>
        <w:tc>
          <w:tcPr>
            <w:tcW w:w="2976"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Cs w:val="21"/>
              </w:rPr>
            </w:pPr>
          </w:p>
        </w:tc>
        <w:tc>
          <w:tcPr>
            <w:tcW w:w="4677" w:type="dxa"/>
            <w:gridSpan w:val="2"/>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0" w:firstLineChars="0"/>
        <w:jc w:val="center"/>
        <w:textAlignment w:val="auto"/>
        <w:rPr>
          <w:rFonts w:hint="eastAsia" w:ascii="黑体" w:hAnsi="黑体" w:eastAsia="黑体" w:cs="黑体"/>
          <w:b w:val="0"/>
          <w:bCs w:val="0"/>
          <w:color w:val="auto"/>
          <w:lang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0" w:firstLineChars="0"/>
        <w:jc w:val="center"/>
        <w:textAlignment w:val="auto"/>
        <w:rPr>
          <w:rFonts w:hint="eastAsia"/>
        </w:rPr>
      </w:pPr>
      <w:r>
        <w:rPr>
          <w:rFonts w:hint="eastAsia" w:ascii="黑体" w:hAnsi="黑体" w:eastAsia="黑体" w:cs="黑体"/>
          <w:b w:val="0"/>
          <w:bCs w:val="0"/>
          <w:color w:val="auto"/>
          <w:lang w:eastAsia="zh-CN"/>
        </w:rPr>
        <w:t>四、</w:t>
      </w:r>
      <w:r>
        <w:rPr>
          <w:rFonts w:hint="eastAsia" w:ascii="黑体" w:hAnsi="黑体" w:eastAsia="黑体" w:cs="黑体"/>
          <w:b w:val="0"/>
          <w:bCs w:val="0"/>
          <w:color w:val="auto"/>
        </w:rPr>
        <w:t>因政府信息公开工作被申请行政复议、提起行政诉讼情况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149" w:leftChars="-71" w:right="-170" w:rightChars="-81" w:firstLine="0" w:firstLineChars="0"/>
              <w:jc w:val="center"/>
              <w:textAlignment w:val="auto"/>
              <w:rPr>
                <w:rFonts w:ascii="黑体" w:hAnsi="黑体" w:eastAsia="黑体"/>
                <w:color w:val="auto"/>
                <w:kern w:val="0"/>
                <w:sz w:val="20"/>
                <w:szCs w:val="20"/>
              </w:rPr>
            </w:pPr>
            <w:r>
              <w:rPr>
                <w:rFonts w:ascii="黑体" w:hAnsi="黑体" w:eastAsia="黑体"/>
                <w:color w:val="auto"/>
                <w:kern w:val="0"/>
                <w:sz w:val="20"/>
                <w:szCs w:val="20"/>
              </w:rPr>
              <w:t>结果</w:t>
            </w:r>
          </w:p>
          <w:p>
            <w:pPr>
              <w:pageBreakBefore w:val="0"/>
              <w:widowControl/>
              <w:kinsoku/>
              <w:wordWrap/>
              <w:overflowPunct/>
              <w:topLinePunct w:val="0"/>
              <w:autoSpaceDE/>
              <w:autoSpaceDN/>
              <w:bidi w:val="0"/>
              <w:adjustRightInd/>
              <w:snapToGrid/>
              <w:spacing w:line="360" w:lineRule="auto"/>
              <w:ind w:left="-149" w:leftChars="-71" w:right="-170" w:rightChars="-81" w:firstLine="0" w:firstLineChars="0"/>
              <w:jc w:val="center"/>
              <w:textAlignment w:val="auto"/>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44" w:leftChars="-21" w:right="-132" w:rightChars="-63" w:firstLine="0" w:firstLineChars="0"/>
              <w:jc w:val="center"/>
              <w:textAlignment w:val="auto"/>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82" w:leftChars="-39" w:right="-97" w:rightChars="-46" w:firstLine="0" w:firstLineChars="0"/>
              <w:jc w:val="center"/>
              <w:textAlignment w:val="auto"/>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118" w:leftChars="-56" w:right="-118" w:rightChars="-56" w:firstLine="0" w:firstLineChars="0"/>
              <w:jc w:val="center"/>
              <w:textAlignment w:val="auto"/>
              <w:rPr>
                <w:rFonts w:ascii="黑体" w:hAnsi="黑体" w:eastAsia="黑体"/>
                <w:color w:val="auto"/>
                <w:kern w:val="0"/>
                <w:sz w:val="20"/>
                <w:szCs w:val="20"/>
              </w:rPr>
            </w:pPr>
            <w:r>
              <w:rPr>
                <w:rFonts w:ascii="黑体" w:hAnsi="黑体" w:eastAsia="黑体"/>
                <w:color w:val="auto"/>
                <w:kern w:val="0"/>
                <w:sz w:val="20"/>
                <w:szCs w:val="20"/>
              </w:rPr>
              <w:t>尚未</w:t>
            </w:r>
          </w:p>
          <w:p>
            <w:pPr>
              <w:pageBreakBefore w:val="0"/>
              <w:widowControl/>
              <w:kinsoku/>
              <w:wordWrap/>
              <w:overflowPunct/>
              <w:topLinePunct w:val="0"/>
              <w:autoSpaceDE/>
              <w:autoSpaceDN/>
              <w:bidi w:val="0"/>
              <w:adjustRightInd/>
              <w:snapToGrid/>
              <w:spacing w:line="360" w:lineRule="auto"/>
              <w:ind w:left="-118" w:leftChars="-56" w:right="-118" w:rightChars="-56" w:firstLine="0" w:firstLineChars="0"/>
              <w:jc w:val="center"/>
              <w:textAlignment w:val="auto"/>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kern w:val="0"/>
                <w:sz w:val="20"/>
                <w:szCs w:val="20"/>
              </w:rPr>
            </w:pPr>
            <w:r>
              <w:rPr>
                <w:rFonts w:ascii="黑体" w:hAnsi="黑体" w:eastAsia="黑体"/>
                <w:color w:val="auto"/>
                <w:kern w:val="0"/>
                <w:sz w:val="20"/>
                <w:szCs w:val="20"/>
              </w:rPr>
              <w:t>总</w:t>
            </w:r>
          </w:p>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rPr>
            </w:pPr>
            <w:r>
              <w:rPr>
                <w:rFonts w:ascii="黑体" w:hAnsi="黑体" w:eastAsia="黑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105" w:leftChars="-50" w:right="-126" w:rightChars="-60" w:firstLine="0" w:firstLineChars="0"/>
              <w:jc w:val="center"/>
              <w:textAlignment w:val="auto"/>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86" w:leftChars="-41" w:right="-88" w:rightChars="-42" w:firstLine="0" w:firstLineChars="0"/>
              <w:jc w:val="center"/>
              <w:textAlignment w:val="auto"/>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126" w:leftChars="-60" w:right="-136" w:rightChars="-65" w:firstLine="0" w:firstLineChars="0"/>
              <w:jc w:val="center"/>
              <w:textAlignment w:val="auto"/>
              <w:rPr>
                <w:rFonts w:ascii="黑体" w:hAnsi="黑体" w:eastAsia="黑体"/>
                <w:color w:val="auto"/>
                <w:kern w:val="0"/>
                <w:sz w:val="20"/>
                <w:szCs w:val="20"/>
              </w:rPr>
            </w:pPr>
            <w:r>
              <w:rPr>
                <w:rFonts w:ascii="黑体" w:hAnsi="黑体" w:eastAsia="黑体"/>
                <w:color w:val="auto"/>
                <w:kern w:val="0"/>
                <w:sz w:val="20"/>
                <w:szCs w:val="20"/>
              </w:rPr>
              <w:t>其他</w:t>
            </w:r>
          </w:p>
          <w:p>
            <w:pPr>
              <w:pageBreakBefore w:val="0"/>
              <w:widowControl/>
              <w:kinsoku/>
              <w:wordWrap/>
              <w:overflowPunct/>
              <w:topLinePunct w:val="0"/>
              <w:autoSpaceDE/>
              <w:autoSpaceDN/>
              <w:bidi w:val="0"/>
              <w:adjustRightInd/>
              <w:snapToGrid/>
              <w:spacing w:line="360" w:lineRule="auto"/>
              <w:ind w:left="-126" w:leftChars="-60" w:right="-136" w:rightChars="-65" w:firstLine="0" w:firstLineChars="0"/>
              <w:jc w:val="center"/>
              <w:textAlignment w:val="auto"/>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164" w:leftChars="-78" w:right="-153" w:rightChars="-73" w:firstLine="0" w:firstLineChars="0"/>
              <w:jc w:val="center"/>
              <w:textAlignment w:val="auto"/>
              <w:rPr>
                <w:rFonts w:ascii="黑体" w:hAnsi="黑体" w:eastAsia="黑体"/>
                <w:color w:val="auto"/>
                <w:kern w:val="0"/>
                <w:sz w:val="20"/>
                <w:szCs w:val="20"/>
              </w:rPr>
            </w:pPr>
            <w:r>
              <w:rPr>
                <w:rFonts w:ascii="黑体" w:hAnsi="黑体" w:eastAsia="黑体"/>
                <w:color w:val="auto"/>
                <w:kern w:val="0"/>
                <w:sz w:val="20"/>
                <w:szCs w:val="20"/>
              </w:rPr>
              <w:t>尚未</w:t>
            </w:r>
          </w:p>
          <w:p>
            <w:pPr>
              <w:pageBreakBefore w:val="0"/>
              <w:widowControl/>
              <w:kinsoku/>
              <w:wordWrap/>
              <w:overflowPunct/>
              <w:topLinePunct w:val="0"/>
              <w:autoSpaceDE/>
              <w:autoSpaceDN/>
              <w:bidi w:val="0"/>
              <w:adjustRightInd/>
              <w:snapToGrid/>
              <w:spacing w:line="360" w:lineRule="auto"/>
              <w:ind w:left="-164" w:leftChars="-78" w:right="-153" w:rightChars="-73" w:firstLine="0" w:firstLineChars="0"/>
              <w:jc w:val="center"/>
              <w:textAlignment w:val="auto"/>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99" w:leftChars="-47" w:right="-78" w:rightChars="-37" w:firstLine="0" w:firstLineChars="0"/>
              <w:jc w:val="center"/>
              <w:textAlignment w:val="auto"/>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136" w:leftChars="-65" w:right="-124" w:rightChars="-59" w:firstLine="0" w:firstLineChars="0"/>
              <w:jc w:val="center"/>
              <w:textAlignment w:val="auto"/>
              <w:rPr>
                <w:rFonts w:ascii="黑体" w:hAnsi="黑体" w:eastAsia="黑体"/>
                <w:color w:val="auto"/>
                <w:kern w:val="0"/>
                <w:sz w:val="20"/>
                <w:szCs w:val="20"/>
              </w:rPr>
            </w:pPr>
            <w:r>
              <w:rPr>
                <w:rFonts w:ascii="黑体" w:hAnsi="黑体" w:eastAsia="黑体"/>
                <w:color w:val="auto"/>
                <w:kern w:val="0"/>
                <w:sz w:val="20"/>
                <w:szCs w:val="20"/>
              </w:rPr>
              <w:t>结果</w:t>
            </w:r>
          </w:p>
          <w:p>
            <w:pPr>
              <w:pageBreakBefore w:val="0"/>
              <w:widowControl/>
              <w:kinsoku/>
              <w:wordWrap/>
              <w:overflowPunct/>
              <w:topLinePunct w:val="0"/>
              <w:autoSpaceDE/>
              <w:autoSpaceDN/>
              <w:bidi w:val="0"/>
              <w:adjustRightInd/>
              <w:snapToGrid/>
              <w:spacing w:line="360" w:lineRule="auto"/>
              <w:ind w:left="-136" w:leftChars="-65" w:right="-124" w:rightChars="-59" w:firstLine="0" w:firstLineChars="0"/>
              <w:jc w:val="center"/>
              <w:textAlignment w:val="auto"/>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174" w:leftChars="-83" w:right="-134" w:rightChars="-64" w:firstLine="0" w:firstLineChars="0"/>
              <w:jc w:val="center"/>
              <w:textAlignment w:val="auto"/>
              <w:rPr>
                <w:rFonts w:ascii="黑体" w:hAnsi="黑体" w:eastAsia="黑体"/>
                <w:color w:val="auto"/>
                <w:kern w:val="0"/>
                <w:sz w:val="20"/>
                <w:szCs w:val="20"/>
              </w:rPr>
            </w:pPr>
            <w:r>
              <w:rPr>
                <w:rFonts w:ascii="黑体" w:hAnsi="黑体" w:eastAsia="黑体"/>
                <w:color w:val="auto"/>
                <w:kern w:val="0"/>
                <w:sz w:val="20"/>
                <w:szCs w:val="20"/>
              </w:rPr>
              <w:t>其他</w:t>
            </w:r>
          </w:p>
          <w:p>
            <w:pPr>
              <w:pageBreakBefore w:val="0"/>
              <w:widowControl/>
              <w:kinsoku/>
              <w:wordWrap/>
              <w:overflowPunct/>
              <w:topLinePunct w:val="0"/>
              <w:autoSpaceDE/>
              <w:autoSpaceDN/>
              <w:bidi w:val="0"/>
              <w:adjustRightInd/>
              <w:snapToGrid/>
              <w:spacing w:line="360" w:lineRule="auto"/>
              <w:ind w:left="-174" w:leftChars="-83" w:right="-134" w:rightChars="-64" w:firstLine="0" w:firstLineChars="0"/>
              <w:jc w:val="center"/>
              <w:textAlignment w:val="auto"/>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left="-69" w:leftChars="-33" w:right="-105" w:rightChars="-50" w:firstLine="0" w:firstLineChars="0"/>
              <w:jc w:val="center"/>
              <w:textAlignment w:val="auto"/>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olor w:val="auto"/>
              </w:rPr>
            </w:pPr>
            <w:r>
              <w:rPr>
                <w:rFonts w:hint="eastAsia" w:ascii="Times New Roman" w:hAnsi="Times New Roman"/>
                <w:color w:val="auto"/>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jc w:val="left"/>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五、</w:t>
      </w:r>
      <w:r>
        <w:rPr>
          <w:rFonts w:hint="default" w:ascii="Times New Roman" w:hAnsi="Times New Roman" w:eastAsia="黑体" w:cs="Times New Roman"/>
          <w:b w:val="0"/>
          <w:bCs w:val="0"/>
          <w:color w:val="auto"/>
        </w:rPr>
        <w:t>政府信息公开工作存在的主要问题及改进情况</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jc w:val="left"/>
        <w:textAlignment w:val="auto"/>
        <w:rPr>
          <w:rFonts w:hint="default" w:ascii="Times New Roman" w:hAnsi="Times New Roman" w:eastAsia="楷体_GB2312" w:cs="Times New Roman"/>
          <w:b w:val="0"/>
          <w:bCs w:val="0"/>
          <w:color w:val="auto"/>
          <w:lang w:eastAsia="zh-CN"/>
        </w:rPr>
      </w:pPr>
      <w:r>
        <w:rPr>
          <w:rFonts w:hint="default" w:ascii="Times New Roman" w:hAnsi="Times New Roman" w:eastAsia="楷体_GB2312" w:cs="Times New Roman"/>
          <w:b w:val="0"/>
          <w:bCs w:val="0"/>
          <w:color w:val="auto"/>
          <w:lang w:eastAsia="zh-CN"/>
        </w:rPr>
        <w:t>（一）主要问题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shd w:val="clear" w:fill="FFFFFF"/>
          <w:lang w:val="en-US" w:eastAsia="zh-CN"/>
        </w:rPr>
        <w:t>2022</w:t>
      </w:r>
      <w:r>
        <w:rPr>
          <w:rFonts w:ascii="仿宋_GB2312" w:hAnsi="宋体" w:eastAsia="仿宋_GB2312" w:cs="仿宋_GB2312"/>
          <w:i w:val="0"/>
          <w:iCs w:val="0"/>
          <w:caps w:val="0"/>
          <w:color w:val="000000"/>
          <w:spacing w:val="0"/>
          <w:sz w:val="32"/>
          <w:szCs w:val="32"/>
          <w:shd w:val="clear" w:fill="FFFFFF"/>
        </w:rPr>
        <w:t>年，我局按照区政府关于政务信息公开的要求，日益提升政府信息公开的工作水平，持续建立政务公开的流程规范，不断提升主动公开的深度和质量。但也存在一些问题：一是工作人员信息公开意识和服务意识还不够强，</w:t>
      </w:r>
      <w:r>
        <w:rPr>
          <w:rFonts w:hint="default" w:ascii="Times New Roman" w:hAnsi="Times New Roman" w:eastAsia="仿宋_GB2312" w:cs="Times New Roman"/>
          <w:sz w:val="32"/>
          <w:szCs w:val="32"/>
          <w:lang w:eastAsia="zh-CN"/>
        </w:rPr>
        <w:t>相关信息公开不主动、不及时</w:t>
      </w:r>
      <w:r>
        <w:rPr>
          <w:rFonts w:hint="eastAsia" w:ascii="Times New Roman" w:hAnsi="Times New Roman" w:eastAsia="仿宋_GB2312" w:cs="Times New Roman"/>
          <w:sz w:val="32"/>
          <w:szCs w:val="32"/>
          <w:lang w:eastAsia="zh-CN"/>
        </w:rPr>
        <w:t>，</w:t>
      </w:r>
      <w:r>
        <w:rPr>
          <w:rFonts w:ascii="仿宋_GB2312" w:hAnsi="宋体" w:eastAsia="仿宋_GB2312" w:cs="仿宋_GB2312"/>
          <w:i w:val="0"/>
          <w:iCs w:val="0"/>
          <w:caps w:val="0"/>
          <w:color w:val="000000"/>
          <w:spacing w:val="0"/>
          <w:sz w:val="32"/>
          <w:szCs w:val="32"/>
          <w:shd w:val="clear" w:fill="FFFFFF"/>
        </w:rPr>
        <w:t>思想需要转变；二是信息公开的内容还不够优化，对政府信息公开工作的专业化、系统化保障不够，政府信息公开的质量仍需进一步提高。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default" w:ascii="楷体_GB2312" w:hAnsi="宋体" w:eastAsia="楷体_GB2312" w:cs="楷体_GB2312"/>
          <w:i w:val="0"/>
          <w:iCs w:val="0"/>
          <w:caps w:val="0"/>
          <w:color w:val="212529"/>
          <w:spacing w:val="0"/>
          <w:sz w:val="32"/>
          <w:szCs w:val="32"/>
          <w:shd w:val="clear" w:fill="FFFFFF"/>
        </w:rPr>
        <w:t>（二）改进措施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212529"/>
          <w:spacing w:val="0"/>
          <w:sz w:val="32"/>
          <w:szCs w:val="32"/>
          <w:shd w:val="clear" w:fill="FFFFFF"/>
        </w:rPr>
        <w:t>1.</w:t>
      </w:r>
      <w:r>
        <w:rPr>
          <w:rFonts w:hint="default" w:ascii="仿宋_GB2312" w:hAnsi="宋体" w:eastAsia="仿宋_GB2312" w:cs="仿宋_GB2312"/>
          <w:i w:val="0"/>
          <w:iCs w:val="0"/>
          <w:caps w:val="0"/>
          <w:color w:val="000000"/>
          <w:spacing w:val="0"/>
          <w:sz w:val="32"/>
          <w:szCs w:val="32"/>
          <w:shd w:val="clear" w:fill="FFFFFF"/>
        </w:rPr>
        <w:t>提高思想认识，进一步明确工作责任，加强检查督促，并落实到日常工作中,加强政府信息公开工作与日常工作的无缝衔接，严格按规范程序公开政府信息，确保政府信息及时、准确、全面地公开。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212529"/>
          <w:spacing w:val="0"/>
          <w:sz w:val="32"/>
          <w:szCs w:val="32"/>
          <w:shd w:val="clear" w:fill="FFFFFF"/>
        </w:rPr>
        <w:t>2.</w:t>
      </w:r>
      <w:r>
        <w:rPr>
          <w:rFonts w:hint="default" w:ascii="仿宋_GB2312" w:hAnsi="宋体" w:eastAsia="仿宋_GB2312" w:cs="仿宋_GB2312"/>
          <w:i w:val="0"/>
          <w:iCs w:val="0"/>
          <w:caps w:val="0"/>
          <w:color w:val="000000"/>
          <w:spacing w:val="0"/>
          <w:sz w:val="32"/>
          <w:szCs w:val="32"/>
          <w:shd w:val="clear" w:fill="FFFFFF"/>
        </w:rPr>
        <w:t>提高公开的主动性和时效性，加大公开力度。主动收集公开信息，尽可能提升公开质量、公开时效等方面，公开内容做到真实、具体、全面，加强对公众关注度高的信息的梳理，增强工作透明度。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212529"/>
          <w:spacing w:val="0"/>
          <w:sz w:val="32"/>
          <w:szCs w:val="32"/>
          <w:shd w:val="clear" w:fill="FFFFFF"/>
        </w:rPr>
        <w:t>3.</w:t>
      </w:r>
      <w:r>
        <w:rPr>
          <w:rFonts w:hint="default" w:ascii="仿宋_GB2312" w:hAnsi="宋体" w:eastAsia="仿宋_GB2312" w:cs="仿宋_GB2312"/>
          <w:i w:val="0"/>
          <w:iCs w:val="0"/>
          <w:caps w:val="0"/>
          <w:color w:val="000000"/>
          <w:spacing w:val="0"/>
          <w:sz w:val="32"/>
          <w:szCs w:val="32"/>
          <w:shd w:val="clear" w:fill="FFFFFF"/>
        </w:rPr>
        <w:t>提升政府信息公开整体水平。按照政府信息公开的工作要求，组织开展政府信息公开业务培训，不断提高政府信息公开意识和业务水平，推动政府信息公开工作深入发展。</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jc w:val="left"/>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六、</w:t>
      </w:r>
      <w:r>
        <w:rPr>
          <w:rFonts w:hint="default" w:ascii="Times New Roman" w:hAnsi="Times New Roman" w:eastAsia="黑体" w:cs="Times New Roman"/>
          <w:b w:val="0"/>
          <w:bCs w:val="0"/>
          <w:color w:val="auto"/>
        </w:rPr>
        <w:t>其他需要报告的事项</w:t>
      </w:r>
    </w:p>
    <w:p>
      <w:pPr>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本年度政府信息公开申请未达到《政府信息公开信息处理费管理办法》（国办函〔2020〕109号）所规定的信息处理费收费标准，故未收取信息处理费。</w:t>
      </w:r>
    </w:p>
    <w:p>
      <w:pPr>
        <w:pageBreakBefore w:val="0"/>
        <w:widowControl w:val="0"/>
        <w:kinsoku/>
        <w:wordWrap/>
        <w:overflowPunct/>
        <w:topLinePunct w:val="0"/>
        <w:autoSpaceDE/>
        <w:autoSpaceDN/>
        <w:bidi w:val="0"/>
        <w:adjustRightInd/>
        <w:snapToGrid/>
        <w:spacing w:line="360" w:lineRule="auto"/>
        <w:ind w:firstLine="630" w:firstLineChars="200"/>
        <w:jc w:val="left"/>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宋体" w:cs="Times New Roman"/>
          <w:i w:val="0"/>
          <w:iCs w:val="0"/>
          <w:caps w:val="0"/>
          <w:color w:val="000000"/>
          <w:spacing w:val="0"/>
          <w:sz w:val="31"/>
          <w:szCs w:val="31"/>
          <w:shd w:val="clear" w:fill="FFFFFF"/>
        </w:rPr>
        <w:t>2.</w:t>
      </w:r>
      <w:r>
        <w:rPr>
          <w:rFonts w:ascii="仿宋_GB2312" w:hAnsi="宋体" w:eastAsia="仿宋_GB2312" w:cs="仿宋_GB2312"/>
          <w:i w:val="0"/>
          <w:iCs w:val="0"/>
          <w:caps w:val="0"/>
          <w:color w:val="000000"/>
          <w:spacing w:val="0"/>
          <w:sz w:val="31"/>
          <w:szCs w:val="31"/>
          <w:shd w:val="clear" w:fill="FFFFFF"/>
        </w:rPr>
        <w:t>落实上级年度政务公开工作要点情况。对照《枣庄市</w:t>
      </w:r>
      <w:r>
        <w:rPr>
          <w:rFonts w:hint="default" w:ascii="Times New Roman" w:hAnsi="Times New Roman" w:eastAsia="宋体" w:cs="Times New Roman"/>
          <w:i w:val="0"/>
          <w:iCs w:val="0"/>
          <w:caps w:val="0"/>
          <w:color w:val="000000"/>
          <w:spacing w:val="0"/>
          <w:sz w:val="31"/>
          <w:szCs w:val="31"/>
          <w:shd w:val="clear" w:fill="FFFFFF"/>
        </w:rPr>
        <w:t>2022</w:t>
      </w:r>
      <w:r>
        <w:rPr>
          <w:rFonts w:hint="default" w:ascii="仿宋_GB2312" w:hAnsi="宋体" w:eastAsia="仿宋_GB2312" w:cs="仿宋_GB2312"/>
          <w:i w:val="0"/>
          <w:iCs w:val="0"/>
          <w:caps w:val="0"/>
          <w:color w:val="000000"/>
          <w:spacing w:val="0"/>
          <w:sz w:val="31"/>
          <w:szCs w:val="31"/>
          <w:shd w:val="clear" w:fill="FFFFFF"/>
        </w:rPr>
        <w:t>年政务公开工作要点》，围绕重点领域信息公开、政策发布解读与回应、政民互动、基层政务公开标准化规范化建设和工作保障和落实逐项明确责任主体和完成时限。</w:t>
      </w:r>
    </w:p>
    <w:p>
      <w:pPr>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薛城区人社局共承办区级人大建议2件，涉及重点产业人才、中小企业社保减免等方面。承办区级政协提案3件，涉及优化人才配置、农民工收入、农民退休制度建设等方面。所有建议提案均已解决采纳，办结率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5"/>
        <w:rPr>
          <w:rFonts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4.</w:t>
      </w:r>
      <w:r>
        <w:rPr>
          <w:rFonts w:ascii="仿宋_GB2312" w:hAnsi="Times New Roman" w:eastAsia="仿宋_GB2312" w:cs="仿宋_GB2312"/>
          <w:i w:val="0"/>
          <w:iCs w:val="0"/>
          <w:caps w:val="0"/>
          <w:color w:val="000000"/>
          <w:spacing w:val="0"/>
          <w:sz w:val="31"/>
          <w:szCs w:val="31"/>
          <w:bdr w:val="none" w:color="auto" w:sz="0" w:space="0"/>
          <w:shd w:val="clear" w:fill="FFFFFF"/>
        </w:rPr>
        <w:t>开展政务公开创新方面。</w:t>
      </w:r>
      <w:r>
        <w:rPr>
          <w:rFonts w:hint="default" w:ascii="Times New Roman" w:hAnsi="Times New Roman" w:eastAsia="仿宋_GB2312" w:cs="Times New Roman"/>
          <w:color w:val="auto"/>
          <w:sz w:val="32"/>
          <w:szCs w:val="32"/>
          <w:lang w:eastAsia="zh-CN"/>
        </w:rPr>
        <w:t>薛城区人社局</w:t>
      </w:r>
      <w:r>
        <w:rPr>
          <w:rFonts w:hint="default" w:ascii="仿宋_GB2312" w:hAnsi="Times New Roman" w:eastAsia="仿宋_GB2312" w:cs="仿宋_GB2312"/>
          <w:i w:val="0"/>
          <w:iCs w:val="0"/>
          <w:caps w:val="0"/>
          <w:color w:val="000000"/>
          <w:spacing w:val="0"/>
          <w:sz w:val="31"/>
          <w:szCs w:val="31"/>
          <w:bdr w:val="none" w:color="auto" w:sz="0" w:space="0"/>
          <w:shd w:val="clear" w:fill="FFFFFF"/>
        </w:rPr>
        <w:t>持续推进</w:t>
      </w:r>
      <w:r>
        <w:rPr>
          <w:rFonts w:hint="default" w:ascii="仿宋_GB2312" w:hAnsi="微软雅黑" w:eastAsia="仿宋_GB2312" w:cs="仿宋_GB2312"/>
          <w:i w:val="0"/>
          <w:iCs w:val="0"/>
          <w:caps w:val="0"/>
          <w:color w:val="000000"/>
          <w:spacing w:val="0"/>
          <w:sz w:val="31"/>
          <w:szCs w:val="31"/>
          <w:bdr w:val="none" w:color="auto" w:sz="0" w:space="0"/>
          <w:shd w:val="clear" w:fill="FFFFFF"/>
        </w:rPr>
        <w:t>企业和办事群众对政务服务满意度监督评价</w:t>
      </w:r>
      <w:r>
        <w:rPr>
          <w:rFonts w:hint="default" w:ascii="仿宋_GB2312" w:hAnsi="Times New Roman" w:eastAsia="仿宋_GB2312" w:cs="仿宋_GB2312"/>
          <w:i w:val="0"/>
          <w:iCs w:val="0"/>
          <w:caps w:val="0"/>
          <w:color w:val="000000"/>
          <w:spacing w:val="0"/>
          <w:sz w:val="31"/>
          <w:szCs w:val="31"/>
          <w:bdr w:val="none" w:color="auto" w:sz="0" w:space="0"/>
          <w:shd w:val="clear" w:fill="FFFFFF"/>
        </w:rPr>
        <w:t>、政府开放日等创新</w:t>
      </w:r>
      <w:bookmarkStart w:id="0" w:name="_GoBack"/>
      <w:bookmarkEnd w:id="0"/>
      <w:r>
        <w:rPr>
          <w:rFonts w:hint="default" w:ascii="仿宋_GB2312" w:hAnsi="Times New Roman" w:eastAsia="仿宋_GB2312" w:cs="仿宋_GB2312"/>
          <w:i w:val="0"/>
          <w:iCs w:val="0"/>
          <w:caps w:val="0"/>
          <w:color w:val="000000"/>
          <w:spacing w:val="0"/>
          <w:sz w:val="31"/>
          <w:szCs w:val="31"/>
          <w:bdr w:val="none" w:color="auto" w:sz="0" w:space="0"/>
          <w:shd w:val="clear" w:fill="FFFFFF"/>
        </w:rPr>
        <w:t>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5.</w:t>
      </w:r>
      <w:r>
        <w:rPr>
          <w:rFonts w:hint="default" w:ascii="仿宋_GB2312" w:hAnsi="Times New Roman" w:eastAsia="仿宋_GB2312" w:cs="仿宋_GB2312"/>
          <w:i w:val="0"/>
          <w:iCs w:val="0"/>
          <w:caps w:val="0"/>
          <w:color w:val="000000"/>
          <w:spacing w:val="0"/>
          <w:sz w:val="31"/>
          <w:szCs w:val="31"/>
          <w:bdr w:val="none" w:color="auto" w:sz="0" w:space="0"/>
          <w:shd w:val="clear" w:fill="FFFFFF"/>
        </w:rPr>
        <w:t>本单位政府信息公开工作年度报告数据统计需要说明的事项：无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6.</w:t>
      </w:r>
      <w:r>
        <w:rPr>
          <w:rFonts w:hint="default" w:ascii="仿宋_GB2312" w:hAnsi="Times New Roman" w:eastAsia="仿宋_GB2312" w:cs="仿宋_GB2312"/>
          <w:i w:val="0"/>
          <w:iCs w:val="0"/>
          <w:caps w:val="0"/>
          <w:color w:val="000000"/>
          <w:spacing w:val="0"/>
          <w:sz w:val="31"/>
          <w:szCs w:val="31"/>
          <w:bdr w:val="none" w:color="auto" w:sz="0" w:space="0"/>
          <w:shd w:val="clear" w:fill="FFFFFF"/>
        </w:rPr>
        <w:t>其他有关文件专门要求通过政府信息公开工作年度报告予以报告的事项：无</w:t>
      </w:r>
    </w:p>
    <w:p>
      <w:pPr>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color w:val="auto"/>
          <w:sz w:val="32"/>
          <w:szCs w:val="32"/>
          <w:lang w:val="en-US" w:eastAsia="zh-CN"/>
        </w:rPr>
      </w:pP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MjEwODNiOTg1OTBiNTI3YWVlNzhiNDliZjFjOWMifQ=="/>
  </w:docVars>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05DF5EEE"/>
    <w:rsid w:val="061916BE"/>
    <w:rsid w:val="06436049"/>
    <w:rsid w:val="0768220B"/>
    <w:rsid w:val="089A4646"/>
    <w:rsid w:val="0AEC7268"/>
    <w:rsid w:val="0C893193"/>
    <w:rsid w:val="0CDE6ACB"/>
    <w:rsid w:val="10ED3268"/>
    <w:rsid w:val="11335637"/>
    <w:rsid w:val="11557616"/>
    <w:rsid w:val="1FEA15B7"/>
    <w:rsid w:val="20BE7F1B"/>
    <w:rsid w:val="218A6EAC"/>
    <w:rsid w:val="21E339F9"/>
    <w:rsid w:val="22AA14D2"/>
    <w:rsid w:val="24376272"/>
    <w:rsid w:val="2B30453E"/>
    <w:rsid w:val="32F6606D"/>
    <w:rsid w:val="33014E2C"/>
    <w:rsid w:val="34445F26"/>
    <w:rsid w:val="36936F9B"/>
    <w:rsid w:val="3A5101DE"/>
    <w:rsid w:val="3BBD3807"/>
    <w:rsid w:val="3C787E8C"/>
    <w:rsid w:val="3ED03C16"/>
    <w:rsid w:val="40A90C1E"/>
    <w:rsid w:val="416335E4"/>
    <w:rsid w:val="43911BC6"/>
    <w:rsid w:val="44682E92"/>
    <w:rsid w:val="45B222C8"/>
    <w:rsid w:val="46B90191"/>
    <w:rsid w:val="48B12D0A"/>
    <w:rsid w:val="49C86E89"/>
    <w:rsid w:val="4A227A1C"/>
    <w:rsid w:val="4A4C4A99"/>
    <w:rsid w:val="537A3E58"/>
    <w:rsid w:val="54176CC7"/>
    <w:rsid w:val="566D62CB"/>
    <w:rsid w:val="595F385C"/>
    <w:rsid w:val="5A3B1F1F"/>
    <w:rsid w:val="5DBF5462"/>
    <w:rsid w:val="601C5E1C"/>
    <w:rsid w:val="640E0E06"/>
    <w:rsid w:val="641F4B74"/>
    <w:rsid w:val="6652640D"/>
    <w:rsid w:val="68BC0BE4"/>
    <w:rsid w:val="699F351D"/>
    <w:rsid w:val="715E4F2E"/>
    <w:rsid w:val="72060CC8"/>
    <w:rsid w:val="74A90487"/>
    <w:rsid w:val="76F81981"/>
    <w:rsid w:val="78D944AC"/>
    <w:rsid w:val="7AEBD7F9"/>
    <w:rsid w:val="7E2671C5"/>
    <w:rsid w:val="7EC16C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unhideWhenUsed/>
    <w:qFormat/>
    <w:uiPriority w:val="99"/>
    <w:rPr>
      <w:color w:val="337AB7"/>
      <w:u w:val="single"/>
    </w:rPr>
  </w:style>
  <w:style w:type="character" w:styleId="11">
    <w:name w:val="HTML Definition"/>
    <w:basedOn w:val="8"/>
    <w:unhideWhenUsed/>
    <w:qFormat/>
    <w:uiPriority w:val="99"/>
    <w:rPr>
      <w:i/>
    </w:rPr>
  </w:style>
  <w:style w:type="character" w:styleId="12">
    <w:name w:val="Hyperlink"/>
    <w:basedOn w:val="8"/>
    <w:unhideWhenUsed/>
    <w:qFormat/>
    <w:uiPriority w:val="99"/>
    <w:rPr>
      <w:color w:val="337AB7"/>
      <w:u w:val="single"/>
    </w:rPr>
  </w:style>
  <w:style w:type="character" w:styleId="13">
    <w:name w:val="HTML Code"/>
    <w:basedOn w:val="8"/>
    <w:unhideWhenUsed/>
    <w:qFormat/>
    <w:uiPriority w:val="99"/>
    <w:rPr>
      <w:rFonts w:ascii="Menlo" w:hAnsi="Menlo" w:eastAsia="Menlo" w:cs="Menlo"/>
      <w:color w:val="C7254E"/>
      <w:sz w:val="21"/>
      <w:szCs w:val="21"/>
      <w:shd w:val="clear" w:fill="F9F2F4"/>
    </w:rPr>
  </w:style>
  <w:style w:type="character" w:styleId="14">
    <w:name w:val="HTML Keyboard"/>
    <w:basedOn w:val="8"/>
    <w:unhideWhenUsed/>
    <w:qFormat/>
    <w:uiPriority w:val="99"/>
    <w:rPr>
      <w:rFonts w:hint="default" w:ascii="Menlo" w:hAnsi="Menlo" w:eastAsia="Menlo" w:cs="Menlo"/>
      <w:color w:val="FFFFFF"/>
      <w:sz w:val="21"/>
      <w:szCs w:val="21"/>
      <w:shd w:val="clear" w:fill="333333"/>
    </w:rPr>
  </w:style>
  <w:style w:type="character" w:styleId="15">
    <w:name w:val="HTML Sample"/>
    <w:basedOn w:val="8"/>
    <w:unhideWhenUsed/>
    <w:qFormat/>
    <w:uiPriority w:val="99"/>
    <w:rPr>
      <w:rFonts w:hint="default" w:ascii="Menlo" w:hAnsi="Menlo" w:eastAsia="Menlo" w:cs="Menlo"/>
      <w:sz w:val="21"/>
      <w:szCs w:val="21"/>
    </w:rPr>
  </w:style>
  <w:style w:type="character" w:customStyle="1" w:styleId="16">
    <w:name w:val="页眉 字符"/>
    <w:basedOn w:val="8"/>
    <w:link w:val="5"/>
    <w:qFormat/>
    <w:uiPriority w:val="99"/>
    <w:rPr>
      <w:sz w:val="18"/>
      <w:szCs w:val="18"/>
    </w:rPr>
  </w:style>
  <w:style w:type="character" w:customStyle="1" w:styleId="17">
    <w:name w:val="页脚 字符"/>
    <w:basedOn w:val="8"/>
    <w:link w:val="4"/>
    <w:qFormat/>
    <w:uiPriority w:val="99"/>
    <w:rPr>
      <w:sz w:val="18"/>
      <w:szCs w:val="18"/>
    </w:rPr>
  </w:style>
  <w:style w:type="character" w:customStyle="1" w:styleId="18">
    <w:name w:val="标题 1 字符"/>
    <w:basedOn w:val="8"/>
    <w:link w:val="2"/>
    <w:qFormat/>
    <w:uiPriority w:val="9"/>
    <w:rPr>
      <w:b/>
      <w:bCs/>
      <w:kern w:val="44"/>
      <w:sz w:val="44"/>
      <w:szCs w:val="44"/>
    </w:rPr>
  </w:style>
  <w:style w:type="character" w:customStyle="1" w:styleId="19">
    <w:name w:val="标题 2 字符"/>
    <w:basedOn w:val="8"/>
    <w:link w:val="3"/>
    <w:qFormat/>
    <w:uiPriority w:val="9"/>
    <w:rPr>
      <w:rFonts w:asciiTheme="majorHAnsi" w:hAnsiTheme="majorHAnsi" w:eastAsiaTheme="majorEastAsia" w:cstheme="majorBidi"/>
      <w:b/>
      <w:bCs/>
      <w:sz w:val="32"/>
      <w:szCs w:val="32"/>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2877</Words>
  <Characters>3051</Characters>
  <Lines>75</Lines>
  <Paragraphs>21</Paragraphs>
  <TotalTime>0</TotalTime>
  <ScaleCrop>false</ScaleCrop>
  <LinksUpToDate>false</LinksUpToDate>
  <CharactersWithSpaces>3052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2021-09-03T15:57:00Z</dcterms:created>
  <dc:creator>qiyuanhua0168@163.com</dc:creator>
  <cp:lastModifiedBy>Administrator</cp:lastModifiedBy>
  <cp:lastPrinted>2021-12-06T09:42:00Z</cp:lastPrinted>
  <dcterms:modified xsi:type="dcterms:W3CDTF">2023-02-02T06:43:10Z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8893F5F70D1644C6919AED5579425959</vt:lpwstr>
  </property>
</Properties>
</file>