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600" w:lineRule="exact"/>
        <w:jc w:val="center"/>
        <w:rPr>
          <w:rFonts w:ascii="Times New Roman" w:hAnsi="Times New Roman" w:eastAsia="方正小标宋简体"/>
          <w:sz w:val="44"/>
          <w:szCs w:val="44"/>
        </w:rPr>
      </w:pPr>
    </w:p>
    <w:p>
      <w:pPr>
        <w:pStyle w:val="4"/>
        <w:widowControl/>
        <w:spacing w:beforeAutospacing="0" w:afterAutospacing="0"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薛城</w:t>
      </w:r>
      <w:r>
        <w:rPr>
          <w:rFonts w:hint="eastAsia" w:ascii="Times New Roman" w:hAnsi="Times New Roman" w:eastAsia="方正小标宋简体"/>
          <w:sz w:val="44"/>
          <w:szCs w:val="44"/>
        </w:rPr>
        <w:t>经济开发区</w:t>
      </w:r>
      <w:r>
        <w:rPr>
          <w:rFonts w:ascii="Times New Roman" w:hAnsi="Times New Roman" w:eastAsia="方正小标宋简体"/>
          <w:sz w:val="44"/>
          <w:szCs w:val="44"/>
        </w:rPr>
        <w:t>202</w:t>
      </w:r>
      <w:r>
        <w:rPr>
          <w:rFonts w:hint="eastAsia" w:ascii="Times New Roman" w:hAnsi="Times New Roman" w:eastAsia="方正小标宋简体"/>
          <w:sz w:val="44"/>
          <w:szCs w:val="44"/>
          <w:lang w:val="en-US" w:eastAsia="zh-CN"/>
        </w:rPr>
        <w:t>2</w:t>
      </w:r>
      <w:r>
        <w:rPr>
          <w:rFonts w:ascii="Times New Roman" w:hAnsi="Times New Roman" w:eastAsia="方正小标宋简体"/>
          <w:sz w:val="44"/>
          <w:szCs w:val="44"/>
        </w:rPr>
        <w:t>年政府信息公开</w:t>
      </w:r>
    </w:p>
    <w:p>
      <w:pPr>
        <w:pStyle w:val="4"/>
        <w:widowControl/>
        <w:spacing w:beforeAutospacing="0" w:afterAutospacing="0"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工作年度报告</w:t>
      </w:r>
    </w:p>
    <w:p>
      <w:pPr>
        <w:pStyle w:val="4"/>
        <w:widowControl/>
        <w:spacing w:beforeAutospacing="0" w:afterAutospacing="0" w:line="600" w:lineRule="exact"/>
        <w:rPr>
          <w:rFonts w:ascii="Times New Roman" w:hAnsi="Times New Roman" w:eastAsia="黑体"/>
          <w:sz w:val="31"/>
          <w:szCs w:val="31"/>
        </w:rPr>
      </w:pPr>
    </w:p>
    <w:p>
      <w:pPr>
        <w:pStyle w:val="4"/>
        <w:widowControl/>
        <w:shd w:val="clear" w:color="auto" w:fill="FFFFFF"/>
        <w:spacing w:beforeAutospacing="0" w:afterAutospacing="0" w:line="600" w:lineRule="exact"/>
        <w:ind w:firstLine="640" w:firstLineChars="200"/>
        <w:rPr>
          <w:rFonts w:ascii="Times New Roman" w:hAnsi="Times New Roman" w:eastAsia="仿宋_GB2312"/>
          <w:color w:val="000000"/>
          <w:sz w:val="32"/>
          <w:szCs w:val="32"/>
          <w:shd w:val="clear" w:color="auto" w:fill="FFFFFF"/>
        </w:rPr>
      </w:pPr>
      <w:r>
        <w:rPr>
          <w:rFonts w:ascii="Times New Roman" w:hAnsi="Times New Roman" w:eastAsia="仿宋_GB2312"/>
          <w:color w:val="000000"/>
          <w:sz w:val="32"/>
          <w:szCs w:val="32"/>
          <w:shd w:val="clear" w:color="auto" w:fill="FFFFFF"/>
        </w:rPr>
        <w:t>根据《中华人民共和国政府信息公开条例》（国务院令第711号，以下简称《条例》）和《国务院办公厅政府信息与政务公开办公室关于印发＜中华人民共和国政府信息公开工作年度报告格式＞的通知》（国办公开办函〔2021〕30号）要求，现就推进政府信息公开工作情况，向社会公布薛城</w:t>
      </w:r>
      <w:r>
        <w:rPr>
          <w:rFonts w:hint="eastAsia" w:ascii="Times New Roman" w:hAnsi="Times New Roman" w:eastAsia="仿宋_GB2312"/>
          <w:color w:val="000000"/>
          <w:sz w:val="32"/>
          <w:szCs w:val="32"/>
          <w:shd w:val="clear" w:color="auto" w:fill="FFFFFF"/>
        </w:rPr>
        <w:t>经济开发区</w:t>
      </w:r>
      <w:r>
        <w:rPr>
          <w:rFonts w:ascii="Times New Roman" w:hAnsi="Times New Roman" w:eastAsia="仿宋_GB2312"/>
          <w:color w:val="000000"/>
          <w:sz w:val="32"/>
          <w:szCs w:val="32"/>
          <w:shd w:val="clear" w:color="auto" w:fill="FFFFFF"/>
        </w:rPr>
        <w:t>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政府信息公开工作年度报告。本报告包括总体情况、行政机关主动公开政府信息情况、行政机关收到和处理政府信息公开申请情况、因政府信息公开工作被申请行政复议、提起行政诉讼情况、政府信息公开工作存在的主要问题及改进情况、其他需要报告的事项等六个部分。本年度报告中所列数据的统计期限自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年1月1日起至202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年12月31日止。如对本报告有疑问，可与薛城</w:t>
      </w:r>
      <w:r>
        <w:rPr>
          <w:rFonts w:hint="eastAsia" w:ascii="Times New Roman" w:hAnsi="Times New Roman" w:eastAsia="仿宋_GB2312"/>
          <w:color w:val="000000"/>
          <w:sz w:val="32"/>
          <w:szCs w:val="32"/>
          <w:shd w:val="clear" w:color="auto" w:fill="FFFFFF"/>
        </w:rPr>
        <w:t>经济开发区</w:t>
      </w:r>
      <w:r>
        <w:rPr>
          <w:rFonts w:ascii="Times New Roman" w:hAnsi="Times New Roman" w:eastAsia="仿宋_GB2312"/>
          <w:color w:val="000000"/>
          <w:sz w:val="32"/>
          <w:szCs w:val="32"/>
          <w:shd w:val="clear" w:color="auto" w:fill="FFFFFF"/>
        </w:rPr>
        <w:t>联系（</w:t>
      </w:r>
      <w:r>
        <w:rPr>
          <w:rFonts w:ascii="Times New Roman" w:hAnsi="Times New Roman" w:eastAsia="仿宋_GB2312"/>
          <w:spacing w:val="-3"/>
          <w:sz w:val="32"/>
          <w:szCs w:val="32"/>
        </w:rPr>
        <w:t>地址:</w:t>
      </w:r>
      <w:r>
        <w:rPr>
          <w:rFonts w:hint="eastAsia" w:ascii="Times New Roman" w:hAnsi="Times New Roman" w:eastAsia="仿宋_GB2312"/>
          <w:spacing w:val="-3"/>
          <w:sz w:val="32"/>
          <w:szCs w:val="32"/>
        </w:rPr>
        <w:t>薛城区仲建大厦A410室</w:t>
      </w:r>
      <w:r>
        <w:rPr>
          <w:rFonts w:ascii="Times New Roman" w:hAnsi="Times New Roman" w:eastAsia="仿宋_GB2312"/>
          <w:spacing w:val="-3"/>
          <w:sz w:val="32"/>
          <w:szCs w:val="32"/>
        </w:rPr>
        <w:t>，邮编：277000 ，电话：0632—44</w:t>
      </w:r>
      <w:r>
        <w:rPr>
          <w:rFonts w:hint="eastAsia" w:ascii="Times New Roman" w:hAnsi="Times New Roman" w:eastAsia="仿宋_GB2312"/>
          <w:spacing w:val="-3"/>
          <w:sz w:val="32"/>
          <w:szCs w:val="32"/>
        </w:rPr>
        <w:t>02565</w:t>
      </w:r>
      <w:r>
        <w:rPr>
          <w:rFonts w:ascii="Times New Roman" w:hAnsi="Times New Roman" w:eastAsia="仿宋_GB2312"/>
          <w:spacing w:val="-3"/>
          <w:sz w:val="32"/>
          <w:szCs w:val="32"/>
        </w:rPr>
        <w:t>，电子邮箱：</w:t>
      </w:r>
      <w:r>
        <w:rPr>
          <w:rFonts w:hint="eastAsia" w:ascii="Times New Roman" w:hAnsi="Times New Roman" w:eastAsia="仿宋_GB2312"/>
          <w:spacing w:val="-3"/>
          <w:sz w:val="32"/>
          <w:szCs w:val="32"/>
        </w:rPr>
        <w:t>kfqzxs</w:t>
      </w:r>
      <w:r>
        <w:rPr>
          <w:rFonts w:ascii="Times New Roman" w:hAnsi="Times New Roman" w:eastAsia="仿宋_GB2312"/>
          <w:spacing w:val="-3"/>
          <w:sz w:val="32"/>
          <w:szCs w:val="32"/>
        </w:rPr>
        <w:t xml:space="preserve">@zz.shandong.cn </w:t>
      </w:r>
      <w:r>
        <w:rPr>
          <w:rFonts w:ascii="Times New Roman" w:hAnsi="Times New Roman" w:eastAsia="仿宋_GB2312"/>
          <w:color w:val="000000"/>
          <w:sz w:val="32"/>
          <w:szCs w:val="32"/>
          <w:shd w:val="clear" w:color="auto" w:fill="FFFFFF"/>
        </w:rPr>
        <w:t>）。</w:t>
      </w:r>
    </w:p>
    <w:p>
      <w:pPr>
        <w:pStyle w:val="4"/>
        <w:widowControl/>
        <w:spacing w:beforeAutospacing="0" w:afterAutospacing="0" w:line="600" w:lineRule="exact"/>
        <w:ind w:firstLine="620" w:firstLineChars="200"/>
        <w:rPr>
          <w:rFonts w:ascii="Times New Roman" w:hAnsi="Times New Roman"/>
        </w:rPr>
      </w:pPr>
      <w:r>
        <w:rPr>
          <w:rFonts w:ascii="Times New Roman" w:hAnsi="Times New Roman" w:eastAsia="黑体"/>
          <w:sz w:val="31"/>
          <w:szCs w:val="31"/>
        </w:rPr>
        <w:t>一、总体情况</w:t>
      </w:r>
    </w:p>
    <w:p>
      <w:pPr>
        <w:pStyle w:val="4"/>
        <w:widowControl/>
        <w:shd w:val="clear" w:color="auto" w:fill="FFFFFF"/>
        <w:spacing w:beforeAutospacing="0" w:afterAutospacing="0" w:line="600" w:lineRule="exact"/>
        <w:ind w:firstLine="640" w:firstLineChars="200"/>
        <w:rPr>
          <w:rFonts w:ascii="Times New Roman" w:hAnsi="Times New Roman" w:eastAsia="仿宋_GB2312"/>
          <w:color w:val="000000"/>
          <w:sz w:val="32"/>
          <w:szCs w:val="32"/>
          <w:shd w:val="clear" w:color="auto" w:fill="FFFFFF"/>
        </w:rPr>
      </w:pPr>
      <w:r>
        <w:rPr>
          <w:rFonts w:ascii="Times New Roman" w:hAnsi="Times New Roman" w:eastAsia="仿宋_GB2312"/>
          <w:color w:val="000000"/>
          <w:sz w:val="32"/>
          <w:szCs w:val="32"/>
          <w:shd w:val="clear" w:color="auto" w:fill="FFFFFF"/>
        </w:rPr>
        <w:t>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w:t>
      </w:r>
      <w:r>
        <w:rPr>
          <w:rFonts w:hint="eastAsia" w:ascii="Times New Roman" w:hAnsi="Times New Roman" w:eastAsia="仿宋_GB2312"/>
          <w:color w:val="000000"/>
          <w:sz w:val="32"/>
          <w:szCs w:val="32"/>
          <w:shd w:val="clear" w:color="auto" w:fill="FFFFFF"/>
        </w:rPr>
        <w:t>薛城经济开发区</w:t>
      </w:r>
      <w:r>
        <w:rPr>
          <w:rFonts w:ascii="Times New Roman" w:hAnsi="Times New Roman" w:eastAsia="仿宋_GB2312"/>
          <w:color w:val="000000"/>
          <w:sz w:val="32"/>
          <w:szCs w:val="32"/>
          <w:shd w:val="clear" w:color="auto" w:fill="FFFFFF"/>
        </w:rPr>
        <w:t>以习近平新时代中国特色社会主义思想为指导，认真贯彻落实上级有关文件精神，采取有效措施，夯实基础、狠抓落实，全面及时公开政府信息，提高工作透明度，全力做好政府信息公开工作。现将202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 xml:space="preserve">年度工作情况报告如下：  </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lang w:eastAsia="zh-CN"/>
        </w:rPr>
      </w:pPr>
      <w:r>
        <w:rPr>
          <w:rFonts w:hint="eastAsia" w:ascii="Times New Roman" w:hAnsi="Times New Roman" w:eastAsia="楷体"/>
          <w:color w:val="000000"/>
          <w:sz w:val="32"/>
          <w:szCs w:val="32"/>
          <w:shd w:val="clear" w:color="auto" w:fill="FFFFFF"/>
        </w:rPr>
        <w:t>1.</w:t>
      </w:r>
      <w:r>
        <w:rPr>
          <w:rFonts w:ascii="Times New Roman" w:hAnsi="Times New Roman" w:eastAsia="楷体"/>
          <w:color w:val="000000"/>
          <w:sz w:val="32"/>
          <w:szCs w:val="32"/>
          <w:shd w:val="clear" w:color="auto" w:fill="FFFFFF"/>
        </w:rPr>
        <w:t>主动公开</w:t>
      </w:r>
      <w:r>
        <w:rPr>
          <w:rFonts w:hint="eastAsia" w:ascii="Times New Roman" w:hAnsi="Times New Roman" w:eastAsia="楷体"/>
          <w:color w:val="000000"/>
          <w:sz w:val="32"/>
          <w:szCs w:val="32"/>
          <w:shd w:val="clear" w:color="auto" w:fill="FFFFFF"/>
          <w:lang w:eastAsia="zh-CN"/>
        </w:rPr>
        <w:t>。</w:t>
      </w:r>
      <w:r>
        <w:rPr>
          <w:rFonts w:ascii="Times New Roman" w:hAnsi="Times New Roman" w:eastAsia="仿宋_GB2312"/>
          <w:color w:val="000000"/>
          <w:sz w:val="32"/>
          <w:szCs w:val="32"/>
          <w:shd w:val="clear" w:color="auto" w:fill="FFFFFF"/>
        </w:rPr>
        <w:t>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年度</w:t>
      </w:r>
      <w:r>
        <w:rPr>
          <w:rFonts w:hint="eastAsia" w:ascii="Times New Roman" w:hAnsi="Times New Roman" w:eastAsia="仿宋_GB2312"/>
          <w:color w:val="000000"/>
          <w:sz w:val="32"/>
          <w:szCs w:val="32"/>
          <w:shd w:val="clear" w:color="auto" w:fill="FFFFFF"/>
        </w:rPr>
        <w:t>薛城经济开发区</w:t>
      </w:r>
      <w:r>
        <w:rPr>
          <w:rFonts w:ascii="Times New Roman" w:hAnsi="Times New Roman" w:eastAsia="仿宋_GB2312"/>
          <w:color w:val="000000"/>
          <w:sz w:val="32"/>
          <w:szCs w:val="32"/>
          <w:shd w:val="clear" w:color="auto" w:fill="FFFFFF"/>
        </w:rPr>
        <w:t>通过政务公开平台在部门年度工作计划、决策部署落实情况、行政权力运行、“双随机一公开”监管、建议提案办理、权责清单和动态调整情况等栏目公开发布各类政府信</w:t>
      </w:r>
      <w:r>
        <w:rPr>
          <w:rFonts w:ascii="Times New Roman" w:hAnsi="Times New Roman" w:eastAsia="仿宋_GB2312"/>
          <w:color w:val="000000" w:themeColor="text1"/>
          <w:sz w:val="32"/>
          <w:szCs w:val="32"/>
          <w:shd w:val="clear" w:color="auto" w:fill="FFFFFF"/>
        </w:rPr>
        <w:t>息</w:t>
      </w:r>
      <w:r>
        <w:rPr>
          <w:rFonts w:hint="eastAsia" w:ascii="Times New Roman" w:hAnsi="Times New Roman" w:eastAsia="仿宋_GB2312"/>
          <w:color w:val="000000" w:themeColor="text1"/>
          <w:sz w:val="32"/>
          <w:szCs w:val="32"/>
          <w:u w:val="none"/>
          <w:shd w:val="clear" w:color="auto" w:fill="FFFFFF"/>
        </w:rPr>
        <w:t>2</w:t>
      </w:r>
      <w:r>
        <w:rPr>
          <w:rFonts w:hint="eastAsia" w:ascii="Times New Roman" w:hAnsi="Times New Roman" w:eastAsia="仿宋_GB2312"/>
          <w:color w:val="000000" w:themeColor="text1"/>
          <w:sz w:val="32"/>
          <w:szCs w:val="32"/>
          <w:u w:val="none"/>
          <w:shd w:val="clear" w:color="auto" w:fill="FFFFFF"/>
          <w:lang w:val="en-US" w:eastAsia="zh-CN"/>
        </w:rPr>
        <w:t>2</w:t>
      </w:r>
      <w:r>
        <w:rPr>
          <w:rFonts w:ascii="Times New Roman" w:hAnsi="Times New Roman" w:eastAsia="仿宋_GB2312"/>
          <w:color w:val="000000" w:themeColor="text1"/>
          <w:sz w:val="32"/>
          <w:szCs w:val="32"/>
          <w:shd w:val="clear" w:color="auto" w:fill="FFFFFF"/>
        </w:rPr>
        <w:t>条。在部门业务工作动态栏目公开发布部门业务开展等信息</w:t>
      </w:r>
      <w:r>
        <w:rPr>
          <w:rFonts w:hint="eastAsia" w:ascii="Times New Roman" w:hAnsi="Times New Roman" w:eastAsia="仿宋_GB2312"/>
          <w:color w:val="000000" w:themeColor="text1"/>
          <w:sz w:val="32"/>
          <w:szCs w:val="32"/>
          <w:u w:val="none"/>
          <w:shd w:val="clear" w:color="auto" w:fill="FFFFFF"/>
          <w:lang w:val="en-US" w:eastAsia="zh-CN"/>
        </w:rPr>
        <w:t>1</w:t>
      </w:r>
      <w:r>
        <w:rPr>
          <w:rFonts w:ascii="Times New Roman" w:hAnsi="Times New Roman" w:eastAsia="仿宋_GB2312"/>
          <w:color w:val="000000" w:themeColor="text1"/>
          <w:sz w:val="32"/>
          <w:szCs w:val="32"/>
          <w:shd w:val="clear" w:color="auto" w:fill="FFFFFF"/>
        </w:rPr>
        <w:t>条</w:t>
      </w:r>
      <w:r>
        <w:rPr>
          <w:rFonts w:hint="eastAsia" w:ascii="Times New Roman" w:hAnsi="Times New Roman" w:eastAsia="仿宋_GB2312"/>
          <w:color w:val="000000" w:themeColor="text1"/>
          <w:sz w:val="32"/>
          <w:szCs w:val="32"/>
          <w:shd w:val="clear" w:color="auto" w:fill="FFFFFF"/>
          <w:lang w:eastAsia="zh-CN"/>
        </w:rPr>
        <w:t>。</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lang w:eastAsia="zh-CN"/>
        </w:rPr>
      </w:pPr>
      <w:r>
        <w:rPr>
          <w:rFonts w:hint="eastAsia" w:ascii="Times New Roman" w:hAnsi="Times New Roman" w:eastAsia="楷体"/>
          <w:color w:val="000000"/>
          <w:sz w:val="32"/>
          <w:szCs w:val="32"/>
          <w:shd w:val="clear" w:color="auto" w:fill="FFFFFF"/>
        </w:rPr>
        <w:t>2.依申请公开。</w:t>
      </w:r>
      <w:r>
        <w:rPr>
          <w:rFonts w:ascii="Times New Roman" w:hAnsi="Times New Roman" w:eastAsia="仿宋_GB2312"/>
          <w:color w:val="000000"/>
          <w:sz w:val="32"/>
          <w:szCs w:val="32"/>
          <w:shd w:val="clear" w:color="auto" w:fill="FFFFFF"/>
        </w:rPr>
        <w:t>202</w:t>
      </w:r>
      <w:r>
        <w:rPr>
          <w:rFonts w:hint="eastAsia" w:ascii="Times New Roman" w:hAnsi="Times New Roman" w:eastAsia="仿宋_GB2312"/>
          <w:color w:val="000000"/>
          <w:sz w:val="32"/>
          <w:szCs w:val="32"/>
          <w:shd w:val="clear" w:color="auto" w:fill="FFFFFF"/>
          <w:lang w:val="en-US" w:eastAsia="zh-CN"/>
        </w:rPr>
        <w:t>2</w:t>
      </w:r>
      <w:r>
        <w:rPr>
          <w:rFonts w:ascii="Times New Roman" w:hAnsi="Times New Roman" w:eastAsia="仿宋_GB2312"/>
          <w:color w:val="000000"/>
          <w:sz w:val="32"/>
          <w:szCs w:val="32"/>
          <w:shd w:val="clear" w:color="auto" w:fill="FFFFFF"/>
        </w:rPr>
        <w:t>年度</w:t>
      </w:r>
      <w:r>
        <w:rPr>
          <w:rFonts w:hint="eastAsia" w:ascii="Times New Roman" w:hAnsi="Times New Roman" w:eastAsia="仿宋_GB2312"/>
          <w:color w:val="000000"/>
          <w:sz w:val="32"/>
          <w:szCs w:val="32"/>
          <w:shd w:val="clear" w:color="auto" w:fill="FFFFFF"/>
        </w:rPr>
        <w:t>开发区</w:t>
      </w:r>
      <w:r>
        <w:rPr>
          <w:rFonts w:ascii="Times New Roman" w:hAnsi="Times New Roman" w:eastAsia="仿宋_GB2312"/>
          <w:color w:val="000000"/>
          <w:sz w:val="32"/>
          <w:szCs w:val="32"/>
          <w:shd w:val="clear" w:color="auto" w:fill="FFFFFF"/>
        </w:rPr>
        <w:t>收到依申请公开文件</w:t>
      </w:r>
      <w:r>
        <w:rPr>
          <w:rFonts w:hint="eastAsia" w:ascii="Times New Roman" w:hAnsi="Times New Roman" w:eastAsia="仿宋_GB2312"/>
          <w:color w:val="000000"/>
          <w:sz w:val="32"/>
          <w:szCs w:val="32"/>
          <w:shd w:val="clear" w:color="auto" w:fill="FFFFFF"/>
          <w:lang w:val="en-US" w:eastAsia="zh-CN"/>
        </w:rPr>
        <w:t>2件</w:t>
      </w:r>
      <w:r>
        <w:rPr>
          <w:rFonts w:hint="eastAsia" w:ascii="Times New Roman" w:hAnsi="Times New Roman" w:eastAsia="仿宋_GB2312"/>
          <w:color w:val="000000"/>
          <w:sz w:val="32"/>
          <w:szCs w:val="32"/>
          <w:shd w:val="clear" w:color="auto" w:fill="FFFFFF"/>
          <w:lang w:eastAsia="zh-CN"/>
        </w:rPr>
        <w:t>，</w:t>
      </w:r>
      <w:r>
        <w:rPr>
          <w:rFonts w:hint="eastAsia" w:ascii="Times New Roman" w:hAnsi="Times New Roman" w:eastAsia="仿宋_GB2312"/>
          <w:color w:val="000000"/>
          <w:sz w:val="32"/>
          <w:szCs w:val="32"/>
          <w:shd w:val="clear" w:color="auto" w:fill="FFFFFF"/>
          <w:lang w:val="en-US" w:eastAsia="zh-CN"/>
        </w:rPr>
        <w:t>其中上年转结1件，</w:t>
      </w:r>
      <w:r>
        <w:rPr>
          <w:rFonts w:hint="eastAsia" w:ascii="Times New Roman" w:hAnsi="Times New Roman" w:eastAsia="仿宋_GB2312"/>
          <w:color w:val="000000"/>
          <w:sz w:val="32"/>
          <w:szCs w:val="32"/>
          <w:shd w:val="clear" w:color="auto" w:fill="FFFFFF"/>
        </w:rPr>
        <w:t>100%及时答复</w:t>
      </w:r>
      <w:r>
        <w:rPr>
          <w:rFonts w:hint="eastAsia" w:ascii="Times New Roman" w:hAnsi="Times New Roman" w:eastAsia="仿宋_GB2312"/>
          <w:color w:val="000000"/>
          <w:sz w:val="32"/>
          <w:szCs w:val="32"/>
          <w:shd w:val="clear" w:color="auto" w:fill="FFFFFF"/>
          <w:lang w:eastAsia="zh-CN"/>
        </w:rPr>
        <w:t>。</w:t>
      </w:r>
    </w:p>
    <w:p>
      <w:pPr>
        <w:pStyle w:val="4"/>
        <w:widowControl/>
        <w:shd w:val="clear" w:color="auto" w:fill="FFFFFF"/>
        <w:spacing w:beforeAutospacing="0" w:afterAutospacing="0" w:line="600" w:lineRule="exact"/>
        <w:ind w:firstLine="645"/>
        <w:rPr>
          <w:rFonts w:ascii="Times New Roman" w:hAnsi="Times New Roman" w:eastAsia="仿宋_GB2312"/>
          <w:sz w:val="32"/>
          <w:szCs w:val="32"/>
          <w:shd w:val="clear" w:color="auto" w:fill="FFFFFF"/>
        </w:rPr>
      </w:pPr>
      <w:r>
        <w:rPr>
          <w:rFonts w:hint="eastAsia" w:ascii="Times New Roman" w:hAnsi="Times New Roman" w:eastAsia="楷体"/>
          <w:color w:val="000000"/>
          <w:sz w:val="32"/>
          <w:szCs w:val="32"/>
          <w:shd w:val="clear" w:color="auto" w:fill="FFFFFF"/>
        </w:rPr>
        <w:t>3.政府信息管理情况。</w:t>
      </w:r>
      <w:r>
        <w:rPr>
          <w:rFonts w:hint="eastAsia" w:ascii="Times New Roman" w:hAnsi="Times New Roman" w:eastAsia="仿宋_GB2312"/>
          <w:sz w:val="32"/>
          <w:szCs w:val="32"/>
          <w:shd w:val="clear" w:color="auto" w:fill="FFFFFF"/>
        </w:rPr>
        <w:t>完善各部门分工协作的信息管理体系，严格执行政府信息公开审查制度，规范信息报送流程，</w:t>
      </w:r>
      <w:r>
        <w:rPr>
          <w:rFonts w:hint="eastAsia" w:ascii="Times New Roman" w:hAnsi="Times New Roman" w:eastAsia="仿宋_GB2312"/>
          <w:color w:val="000000" w:themeColor="text1"/>
          <w:sz w:val="32"/>
          <w:szCs w:val="32"/>
          <w:shd w:val="clear" w:color="auto" w:fill="FFFFFF"/>
        </w:rPr>
        <w:t>由各部室负责同志按照职责分工、对主动公开的信息内容和依申请公开答复事项进行信息初审，经分管班子领导审核同意后报开发区政务公开工作领导小组办公室进行保密审查，</w:t>
      </w:r>
      <w:r>
        <w:rPr>
          <w:rFonts w:hint="eastAsia" w:ascii="Times New Roman" w:hAnsi="Times New Roman" w:eastAsia="仿宋_GB2312"/>
          <w:sz w:val="32"/>
          <w:szCs w:val="32"/>
          <w:shd w:val="clear" w:color="auto" w:fill="FFFFFF"/>
        </w:rPr>
        <w:t>切实做到人人有责、层层负责、规范有序、高效透明，确保信息内容准确合规。</w:t>
      </w:r>
    </w:p>
    <w:p>
      <w:pPr>
        <w:pStyle w:val="4"/>
        <w:widowControl/>
        <w:shd w:val="clear" w:color="auto" w:fill="FFFFFF"/>
        <w:spacing w:beforeAutospacing="0" w:afterAutospacing="0" w:line="600" w:lineRule="exact"/>
        <w:ind w:firstLine="645"/>
        <w:rPr>
          <w:rFonts w:hint="eastAsia" w:ascii="Times New Roman" w:hAnsi="Times New Roman" w:eastAsia="仿宋_GB2312"/>
          <w:color w:val="000000" w:themeColor="text1"/>
          <w:sz w:val="32"/>
          <w:szCs w:val="32"/>
          <w:shd w:val="clear" w:color="auto" w:fill="FFFFFF"/>
        </w:rPr>
      </w:pPr>
      <w:r>
        <w:rPr>
          <w:rFonts w:hint="eastAsia" w:ascii="Times New Roman" w:hAnsi="Times New Roman" w:eastAsia="楷体"/>
          <w:color w:val="000000"/>
          <w:sz w:val="32"/>
          <w:szCs w:val="32"/>
          <w:shd w:val="clear" w:color="auto" w:fill="FFFFFF"/>
        </w:rPr>
        <w:t>4.政府信息公开平台建设情况。</w:t>
      </w:r>
      <w:r>
        <w:rPr>
          <w:rFonts w:hint="eastAsia" w:ascii="Times New Roman" w:hAnsi="Times New Roman" w:eastAsia="仿宋_GB2312"/>
          <w:color w:val="000000" w:themeColor="text1"/>
          <w:sz w:val="32"/>
          <w:szCs w:val="32"/>
          <w:shd w:val="clear" w:color="auto" w:fill="FFFFFF"/>
        </w:rPr>
        <w:t>开发区无独立门户网站，政务公开信息主要通过区政府门户网站发布。2</w:t>
      </w:r>
      <w:r>
        <w:rPr>
          <w:rFonts w:hint="eastAsia" w:ascii="Times New Roman" w:hAnsi="Times New Roman" w:eastAsia="仿宋_GB2312"/>
          <w:sz w:val="32"/>
          <w:szCs w:val="32"/>
          <w:shd w:val="clear" w:color="auto" w:fill="FFFFFF"/>
        </w:rPr>
        <w:t>02</w:t>
      </w:r>
      <w:r>
        <w:rPr>
          <w:rFonts w:hint="eastAsia" w:ascii="Times New Roman" w:hAnsi="Times New Roman" w:eastAsia="仿宋_GB2312"/>
          <w:sz w:val="32"/>
          <w:szCs w:val="32"/>
          <w:shd w:val="clear" w:color="auto" w:fill="FFFFFF"/>
          <w:lang w:val="en-US" w:eastAsia="zh-CN"/>
        </w:rPr>
        <w:t>2</w:t>
      </w:r>
      <w:r>
        <w:rPr>
          <w:rFonts w:hint="eastAsia" w:ascii="Times New Roman" w:hAnsi="Times New Roman" w:eastAsia="仿宋_GB2312"/>
          <w:sz w:val="32"/>
          <w:szCs w:val="32"/>
          <w:shd w:val="clear" w:color="auto" w:fill="FFFFFF"/>
        </w:rPr>
        <w:t>年度，开发区严格按照</w:t>
      </w:r>
      <w:r>
        <w:rPr>
          <w:rFonts w:hint="eastAsia" w:ascii="Times New Roman" w:hAnsi="Times New Roman" w:eastAsia="仿宋_GB2312"/>
          <w:color w:val="000000" w:themeColor="text1"/>
          <w:sz w:val="32"/>
          <w:szCs w:val="32"/>
          <w:shd w:val="clear" w:color="auto" w:fill="FFFFFF"/>
        </w:rPr>
        <w:t>区政府集约化智能门户平台板块及栏目设置公开各项政务信息，确保应有公开栏目不漏项，信息报送保质保量。</w:t>
      </w:r>
    </w:p>
    <w:p>
      <w:pPr>
        <w:pStyle w:val="4"/>
        <w:widowControl/>
        <w:shd w:val="clear" w:color="auto" w:fill="FFFFFF"/>
        <w:spacing w:beforeAutospacing="0" w:afterAutospacing="0" w:line="600" w:lineRule="exact"/>
        <w:ind w:firstLine="645"/>
        <w:rPr>
          <w:rFonts w:ascii="Times New Roman" w:hAnsi="Times New Roman" w:eastAsia="仿宋_GB2312"/>
          <w:color w:val="000000"/>
          <w:sz w:val="32"/>
          <w:szCs w:val="32"/>
          <w:shd w:val="clear" w:color="auto" w:fill="FFFFFF"/>
        </w:rPr>
      </w:pPr>
      <w:r>
        <w:rPr>
          <w:rFonts w:hint="eastAsia" w:ascii="Times New Roman" w:hAnsi="Times New Roman" w:eastAsia="楷体"/>
          <w:color w:val="000000"/>
          <w:sz w:val="32"/>
          <w:szCs w:val="32"/>
          <w:shd w:val="clear" w:color="auto" w:fill="FFFFFF"/>
        </w:rPr>
        <w:t>5.监督保障情况。</w:t>
      </w:r>
      <w:r>
        <w:rPr>
          <w:rFonts w:hint="eastAsia" w:ascii="Times New Roman" w:hAnsi="Times New Roman" w:eastAsia="仿宋_GB2312"/>
          <w:color w:val="000000"/>
          <w:sz w:val="32"/>
          <w:szCs w:val="32"/>
          <w:shd w:val="clear" w:color="auto" w:fill="FFFFFF"/>
        </w:rPr>
        <w:t>根据人员变动及时调整单位政务公开工作领导小组，强化组织领导，明确责任分工。定期组织政务公开信息员业务培训，强化保密意识，提升业务水平</w:t>
      </w:r>
      <w:r>
        <w:rPr>
          <w:rFonts w:hint="eastAsia" w:ascii="Times New Roman" w:hAnsi="Times New Roman" w:eastAsia="仿宋_GB2312"/>
          <w:color w:val="000000" w:themeColor="text1"/>
          <w:sz w:val="32"/>
          <w:szCs w:val="32"/>
          <w:shd w:val="clear" w:color="auto" w:fill="FFFFFF"/>
        </w:rPr>
        <w:t>。主动接受区政务公开办对我单位政务信息公开情况的监督，对</w:t>
      </w:r>
      <w:r>
        <w:rPr>
          <w:rFonts w:hint="eastAsia" w:ascii="Times New Roman" w:hAnsi="Times New Roman" w:eastAsia="仿宋_GB2312"/>
          <w:color w:val="000000"/>
          <w:sz w:val="32"/>
          <w:szCs w:val="32"/>
          <w:shd w:val="clear" w:color="auto" w:fill="FFFFFF"/>
        </w:rPr>
        <w:t>照监督检测出的问题及时认真做好整改工作。</w:t>
      </w:r>
    </w:p>
    <w:p>
      <w:pPr>
        <w:pStyle w:val="4"/>
        <w:widowControl/>
        <w:spacing w:beforeAutospacing="0" w:afterAutospacing="0" w:line="600" w:lineRule="exact"/>
        <w:rPr>
          <w:rFonts w:ascii="Times New Roman" w:hAnsi="Times New Roman" w:eastAsia="黑体"/>
          <w:sz w:val="31"/>
          <w:szCs w:val="31"/>
        </w:rPr>
      </w:pPr>
      <w:r>
        <w:rPr>
          <w:rFonts w:ascii="Times New Roman" w:hAnsi="Times New Roman" w:eastAsia="黑体"/>
          <w:sz w:val="31"/>
          <w:szCs w:val="31"/>
        </w:rPr>
        <w:t>    二、主动公开政府信息情况统计表</w:t>
      </w:r>
    </w:p>
    <w:p>
      <w:pPr>
        <w:pStyle w:val="4"/>
        <w:widowControl/>
        <w:spacing w:beforeAutospacing="0" w:afterAutospacing="0" w:line="600" w:lineRule="exact"/>
        <w:rPr>
          <w:rFonts w:ascii="Times New Roman" w:hAnsi="Times New Roman" w:eastAsia="黑体"/>
          <w:sz w:val="31"/>
          <w:szCs w:val="31"/>
        </w:rPr>
      </w:pPr>
    </w:p>
    <w:tbl>
      <w:tblPr>
        <w:tblStyle w:val="5"/>
        <w:tblW w:w="8824" w:type="dxa"/>
        <w:tblInd w:w="0" w:type="dxa"/>
        <w:tblLayout w:type="fixed"/>
        <w:tblCellMar>
          <w:top w:w="0" w:type="dxa"/>
          <w:left w:w="108" w:type="dxa"/>
          <w:bottom w:w="0" w:type="dxa"/>
          <w:right w:w="108" w:type="dxa"/>
        </w:tblCellMar>
      </w:tblPr>
      <w:tblGrid>
        <w:gridCol w:w="2206"/>
        <w:gridCol w:w="2206"/>
        <w:gridCol w:w="2206"/>
        <w:gridCol w:w="2206"/>
      </w:tblGrid>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Times New Roman" w:hAnsi="Times New Roman" w:eastAsia="黑体" w:cs="Times New Roman"/>
                <w:color w:val="000000"/>
                <w:kern w:val="0"/>
                <w:szCs w:val="21"/>
              </w:rPr>
            </w:pPr>
            <w:r>
              <w:rPr>
                <w:rFonts w:ascii="Times New Roman" w:hAnsi="Times New Roman" w:eastAsia="黑体" w:cs="Times New Roman"/>
                <w:color w:val="000000"/>
                <w:kern w:val="0"/>
                <w:szCs w:val="21"/>
              </w:rPr>
              <w:t>第二十条第（一）项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信息内容</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本年制发件数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本年废止件数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现行有效件数</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规章</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行政规范性文件</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Times New Roman" w:hAnsi="Times New Roman" w:eastAsia="黑体" w:cs="Times New Roman"/>
                <w:color w:val="000000"/>
                <w:kern w:val="0"/>
                <w:szCs w:val="21"/>
              </w:rPr>
            </w:pPr>
            <w:r>
              <w:rPr>
                <w:rFonts w:ascii="Times New Roman" w:hAnsi="Times New Roman" w:eastAsia="黑体" w:cs="Times New Roman"/>
                <w:color w:val="000000"/>
                <w:kern w:val="0"/>
                <w:szCs w:val="21"/>
              </w:rPr>
              <w:t>第二十条第（五）项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本年处理决定数量</w:t>
            </w:r>
          </w:p>
        </w:tc>
      </w:tr>
      <w:tr>
        <w:tblPrEx>
          <w:tblCellMar>
            <w:top w:w="0" w:type="dxa"/>
            <w:left w:w="108" w:type="dxa"/>
            <w:bottom w:w="0" w:type="dxa"/>
            <w:right w:w="108" w:type="dxa"/>
          </w:tblCellMar>
        </w:tblPrEx>
        <w:trPr>
          <w:trHeight w:val="645"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行政许可</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Times New Roman" w:hAnsi="Times New Roman" w:eastAsia="黑体" w:cs="Times New Roman"/>
                <w:color w:val="000000"/>
                <w:kern w:val="0"/>
                <w:szCs w:val="21"/>
              </w:rPr>
            </w:pPr>
            <w:r>
              <w:rPr>
                <w:rFonts w:ascii="Times New Roman" w:hAnsi="Times New Roman" w:eastAsia="黑体" w:cs="Times New Roman"/>
                <w:color w:val="000000"/>
                <w:kern w:val="0"/>
                <w:szCs w:val="21"/>
              </w:rPr>
              <w:t>第二十条第（六）项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本年处理决定数量</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行政处罚</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行政强制</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Times New Roman" w:hAnsi="Times New Roman" w:eastAsia="黑体" w:cs="Times New Roman"/>
                <w:color w:val="000000"/>
                <w:kern w:val="0"/>
                <w:szCs w:val="21"/>
              </w:rPr>
            </w:pPr>
            <w:r>
              <w:rPr>
                <w:rFonts w:ascii="Times New Roman" w:hAnsi="Times New Roman" w:eastAsia="黑体" w:cs="Times New Roman"/>
                <w:color w:val="000000"/>
                <w:kern w:val="0"/>
                <w:szCs w:val="21"/>
              </w:rPr>
              <w:t>第二十条第（八）项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本年收费金额（单位：万元）</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行政事业性收费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0</w:t>
            </w:r>
          </w:p>
        </w:tc>
      </w:tr>
    </w:tbl>
    <w:p>
      <w:pPr>
        <w:pStyle w:val="4"/>
        <w:widowControl/>
        <w:spacing w:line="315" w:lineRule="atLeast"/>
        <w:rPr>
          <w:rFonts w:ascii="Times New Roman" w:hAnsi="Times New Roman"/>
        </w:rPr>
      </w:pPr>
      <w:r>
        <w:rPr>
          <w:rFonts w:ascii="Times New Roman" w:hAnsi="Times New Roman" w:eastAsia="黑体"/>
          <w:sz w:val="31"/>
          <w:szCs w:val="31"/>
        </w:rPr>
        <w:t>    三、收到和处理政府信息公开申请情况</w:t>
      </w:r>
    </w:p>
    <w:tbl>
      <w:tblPr>
        <w:tblStyle w:val="5"/>
        <w:tblW w:w="991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416"/>
        <w:gridCol w:w="1701"/>
        <w:gridCol w:w="2976"/>
        <w:gridCol w:w="829"/>
        <w:gridCol w:w="567"/>
        <w:gridCol w:w="567"/>
        <w:gridCol w:w="731"/>
        <w:gridCol w:w="708"/>
        <w:gridCol w:w="567"/>
        <w:gridCol w:w="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5093" w:type="dxa"/>
            <w:gridSpan w:val="3"/>
            <w:vMerge w:val="restart"/>
            <w:shd w:val="clear" w:color="auto" w:fill="auto"/>
            <w:tcMar>
              <w:left w:w="108" w:type="dxa"/>
              <w:right w:w="108" w:type="dxa"/>
            </w:tcMar>
            <w:vAlign w:val="center"/>
          </w:tcPr>
          <w:p>
            <w:pPr>
              <w:widowControl/>
              <w:jc w:val="center"/>
              <w:rPr>
                <w:rFonts w:ascii="Times New Roman" w:hAnsi="Times New Roman" w:eastAsia="楷体_GB2312" w:cs="Times New Roman"/>
                <w:kern w:val="0"/>
                <w:szCs w:val="21"/>
              </w:rPr>
            </w:pPr>
            <w:r>
              <w:rPr>
                <w:rFonts w:ascii="Times New Roman" w:hAnsi="Times New Roman" w:eastAsia="楷体_GB2312" w:cs="Times New Roman"/>
                <w:kern w:val="0"/>
                <w:szCs w:val="21"/>
              </w:rPr>
              <w:t>（本列数据的勾稽关系为：第一项加第二项之和，</w:t>
            </w:r>
          </w:p>
          <w:p>
            <w:pPr>
              <w:widowControl/>
              <w:jc w:val="center"/>
              <w:rPr>
                <w:rFonts w:ascii="Times New Roman" w:hAnsi="Times New Roman" w:eastAsia="仿宋_GB2312" w:cs="Times New Roman"/>
                <w:szCs w:val="21"/>
              </w:rPr>
            </w:pPr>
            <w:r>
              <w:rPr>
                <w:rFonts w:ascii="Times New Roman" w:hAnsi="Times New Roman" w:eastAsia="楷体_GB2312" w:cs="Times New Roman"/>
                <w:kern w:val="0"/>
                <w:szCs w:val="21"/>
              </w:rPr>
              <w:t>等于第三项加第四项之和）</w:t>
            </w:r>
          </w:p>
        </w:tc>
        <w:tc>
          <w:tcPr>
            <w:tcW w:w="4820" w:type="dxa"/>
            <w:gridSpan w:val="7"/>
            <w:shd w:val="clear" w:color="auto" w:fill="auto"/>
            <w:tcMar>
              <w:left w:w="108" w:type="dxa"/>
              <w:right w:w="108" w:type="dxa"/>
            </w:tcMar>
            <w:vAlign w:val="center"/>
          </w:tcPr>
          <w:p>
            <w:pPr>
              <w:widowControl/>
              <w:spacing w:line="320" w:lineRule="exact"/>
              <w:jc w:val="center"/>
              <w:rPr>
                <w:rFonts w:ascii="Times New Roman" w:hAnsi="Times New Roman" w:eastAsia="黑体" w:cs="Times New Roman"/>
                <w:szCs w:val="21"/>
              </w:rPr>
            </w:pPr>
            <w:r>
              <w:rPr>
                <w:rFonts w:ascii="Times New Roman" w:hAnsi="Times New Roman" w:eastAsia="黑体" w:cs="Times New Roman"/>
                <w:kern w:val="0"/>
                <w:szCs w:val="21"/>
              </w:rPr>
              <w:t>申请人情况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093" w:type="dxa"/>
            <w:gridSpan w:val="3"/>
            <w:vMerge w:val="continue"/>
            <w:shd w:val="clear" w:color="auto" w:fill="auto"/>
            <w:tcMar>
              <w:left w:w="108" w:type="dxa"/>
              <w:right w:w="108" w:type="dxa"/>
            </w:tcMar>
            <w:vAlign w:val="center"/>
          </w:tcPr>
          <w:p>
            <w:pPr>
              <w:jc w:val="center"/>
              <w:rPr>
                <w:rFonts w:ascii="Times New Roman" w:hAnsi="Times New Roman" w:eastAsia="仿宋_GB2312" w:cs="Times New Roman"/>
                <w:szCs w:val="21"/>
              </w:rPr>
            </w:pPr>
          </w:p>
        </w:tc>
        <w:tc>
          <w:tcPr>
            <w:tcW w:w="829" w:type="dxa"/>
            <w:vMerge w:val="restart"/>
            <w:shd w:val="clear" w:color="auto" w:fill="auto"/>
            <w:tcMar>
              <w:left w:w="108" w:type="dxa"/>
              <w:right w:w="108" w:type="dxa"/>
            </w:tcMar>
            <w:vAlign w:val="center"/>
          </w:tcPr>
          <w:p>
            <w:pPr>
              <w:widowControl/>
              <w:jc w:val="center"/>
              <w:rPr>
                <w:rFonts w:ascii="Times New Roman" w:hAnsi="Times New Roman" w:eastAsia="黑体" w:cs="Times New Roman"/>
                <w:szCs w:val="21"/>
              </w:rPr>
            </w:pPr>
            <w:r>
              <w:rPr>
                <w:rFonts w:ascii="Times New Roman" w:hAnsi="Times New Roman" w:eastAsia="黑体" w:cs="Times New Roman"/>
                <w:kern w:val="0"/>
                <w:szCs w:val="21"/>
              </w:rPr>
              <w:t>自然人</w:t>
            </w:r>
          </w:p>
        </w:tc>
        <w:tc>
          <w:tcPr>
            <w:tcW w:w="3140" w:type="dxa"/>
            <w:gridSpan w:val="5"/>
            <w:shd w:val="clear" w:color="auto" w:fill="auto"/>
            <w:tcMar>
              <w:left w:w="108" w:type="dxa"/>
              <w:right w:w="108" w:type="dxa"/>
            </w:tcMar>
            <w:vAlign w:val="center"/>
          </w:tcPr>
          <w:p>
            <w:pPr>
              <w:widowControl/>
              <w:spacing w:line="320" w:lineRule="exact"/>
              <w:jc w:val="center"/>
              <w:rPr>
                <w:rFonts w:ascii="Times New Roman" w:hAnsi="Times New Roman" w:eastAsia="黑体" w:cs="Times New Roman"/>
                <w:szCs w:val="21"/>
              </w:rPr>
            </w:pPr>
            <w:r>
              <w:rPr>
                <w:rFonts w:ascii="Times New Roman" w:hAnsi="Times New Roman" w:eastAsia="黑体" w:cs="Times New Roman"/>
                <w:kern w:val="0"/>
                <w:szCs w:val="21"/>
              </w:rPr>
              <w:t>法人或其他组织</w:t>
            </w:r>
          </w:p>
        </w:tc>
        <w:tc>
          <w:tcPr>
            <w:tcW w:w="851" w:type="dxa"/>
            <w:vMerge w:val="restart"/>
            <w:shd w:val="clear" w:color="auto" w:fill="auto"/>
            <w:tcMar>
              <w:left w:w="108" w:type="dxa"/>
              <w:right w:w="108" w:type="dxa"/>
            </w:tcMar>
            <w:vAlign w:val="center"/>
          </w:tcPr>
          <w:p>
            <w:pPr>
              <w:widowControl/>
              <w:jc w:val="center"/>
              <w:rPr>
                <w:rFonts w:ascii="Times New Roman" w:hAnsi="Times New Roman" w:eastAsia="黑体" w:cs="Times New Roman"/>
                <w:szCs w:val="21"/>
              </w:rPr>
            </w:pPr>
            <w:r>
              <w:rPr>
                <w:rFonts w:ascii="Times New Roman" w:hAnsi="Times New Roman" w:eastAsia="黑体" w:cs="Times New Roman"/>
                <w:kern w:val="0"/>
                <w:szCs w:val="21"/>
              </w:rPr>
              <w:t>总计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22" w:hRule="atLeast"/>
          <w:jc w:val="center"/>
        </w:trPr>
        <w:tc>
          <w:tcPr>
            <w:tcW w:w="5093" w:type="dxa"/>
            <w:gridSpan w:val="3"/>
            <w:vMerge w:val="continue"/>
            <w:shd w:val="clear" w:color="auto" w:fill="auto"/>
            <w:tcMar>
              <w:left w:w="108" w:type="dxa"/>
              <w:right w:w="108" w:type="dxa"/>
            </w:tcMar>
            <w:vAlign w:val="center"/>
          </w:tcPr>
          <w:p>
            <w:pPr>
              <w:jc w:val="center"/>
              <w:rPr>
                <w:rFonts w:ascii="Times New Roman" w:hAnsi="Times New Roman" w:eastAsia="仿宋_GB2312" w:cs="Times New Roman"/>
                <w:szCs w:val="21"/>
              </w:rPr>
            </w:pPr>
          </w:p>
        </w:tc>
        <w:tc>
          <w:tcPr>
            <w:tcW w:w="829" w:type="dxa"/>
            <w:vMerge w:val="continue"/>
            <w:shd w:val="clear" w:color="auto" w:fill="auto"/>
            <w:tcMar>
              <w:left w:w="108" w:type="dxa"/>
              <w:right w:w="108" w:type="dxa"/>
            </w:tcMar>
            <w:vAlign w:val="center"/>
          </w:tcPr>
          <w:p>
            <w:pPr>
              <w:jc w:val="center"/>
              <w:rPr>
                <w:rFonts w:ascii="Times New Roman" w:hAnsi="Times New Roman" w:eastAsia="黑体" w:cs="Times New Roman"/>
                <w:szCs w:val="21"/>
              </w:rPr>
            </w:pPr>
          </w:p>
        </w:tc>
        <w:tc>
          <w:tcPr>
            <w:tcW w:w="567" w:type="dxa"/>
            <w:shd w:val="clear" w:color="auto" w:fill="auto"/>
            <w:tcMar>
              <w:left w:w="108" w:type="dxa"/>
              <w:right w:w="108" w:type="dxa"/>
            </w:tcMar>
            <w:vAlign w:val="center"/>
          </w:tcPr>
          <w:p>
            <w:pPr>
              <w:widowControl/>
              <w:spacing w:line="320" w:lineRule="exact"/>
              <w:ind w:left="-106" w:leftChars="-51" w:right="-107" w:rightChars="-51" w:hanging="1"/>
              <w:jc w:val="center"/>
              <w:rPr>
                <w:rFonts w:ascii="Times New Roman" w:hAnsi="Times New Roman" w:eastAsia="黑体" w:cs="Times New Roman"/>
                <w:szCs w:val="21"/>
              </w:rPr>
            </w:pPr>
            <w:r>
              <w:rPr>
                <w:rFonts w:ascii="Times New Roman" w:hAnsi="Times New Roman" w:eastAsia="黑体" w:cs="Times New Roman"/>
                <w:kern w:val="0"/>
                <w:szCs w:val="21"/>
              </w:rPr>
              <w:t>商业企业</w:t>
            </w:r>
          </w:p>
        </w:tc>
        <w:tc>
          <w:tcPr>
            <w:tcW w:w="567" w:type="dxa"/>
            <w:shd w:val="clear" w:color="auto" w:fill="auto"/>
            <w:tcMar>
              <w:left w:w="108" w:type="dxa"/>
              <w:right w:w="108" w:type="dxa"/>
            </w:tcMar>
            <w:vAlign w:val="center"/>
          </w:tcPr>
          <w:p>
            <w:pPr>
              <w:widowControl/>
              <w:spacing w:line="320" w:lineRule="exact"/>
              <w:ind w:left="-107" w:leftChars="-51" w:right="-107" w:rightChars="-51"/>
              <w:jc w:val="center"/>
              <w:rPr>
                <w:rFonts w:ascii="Times New Roman" w:hAnsi="Times New Roman" w:eastAsia="黑体" w:cs="Times New Roman"/>
                <w:szCs w:val="21"/>
              </w:rPr>
            </w:pPr>
            <w:r>
              <w:rPr>
                <w:rFonts w:ascii="Times New Roman" w:hAnsi="Times New Roman" w:eastAsia="黑体" w:cs="Times New Roman"/>
                <w:kern w:val="0"/>
                <w:szCs w:val="21"/>
              </w:rPr>
              <w:t>科研机构</w:t>
            </w:r>
          </w:p>
        </w:tc>
        <w:tc>
          <w:tcPr>
            <w:tcW w:w="731" w:type="dxa"/>
            <w:shd w:val="clear" w:color="auto" w:fill="auto"/>
            <w:tcMar>
              <w:left w:w="108" w:type="dxa"/>
              <w:right w:w="108" w:type="dxa"/>
            </w:tcMar>
            <w:vAlign w:val="center"/>
          </w:tcPr>
          <w:p>
            <w:pPr>
              <w:widowControl/>
              <w:spacing w:line="320" w:lineRule="exact"/>
              <w:ind w:left="-107" w:leftChars="-51" w:right="-107" w:rightChars="-51"/>
              <w:jc w:val="center"/>
              <w:rPr>
                <w:rFonts w:ascii="Times New Roman" w:hAnsi="Times New Roman" w:eastAsia="黑体" w:cs="Times New Roman"/>
                <w:szCs w:val="21"/>
              </w:rPr>
            </w:pPr>
            <w:r>
              <w:rPr>
                <w:rFonts w:ascii="Times New Roman" w:hAnsi="Times New Roman" w:eastAsia="黑体" w:cs="Times New Roman"/>
                <w:kern w:val="0"/>
                <w:szCs w:val="21"/>
              </w:rPr>
              <w:t>社会公益组织</w:t>
            </w:r>
          </w:p>
        </w:tc>
        <w:tc>
          <w:tcPr>
            <w:tcW w:w="708" w:type="dxa"/>
            <w:shd w:val="clear" w:color="auto" w:fill="auto"/>
            <w:tcMar>
              <w:left w:w="108" w:type="dxa"/>
              <w:right w:w="108" w:type="dxa"/>
            </w:tcMar>
            <w:vAlign w:val="center"/>
          </w:tcPr>
          <w:p>
            <w:pPr>
              <w:widowControl/>
              <w:spacing w:line="320" w:lineRule="exact"/>
              <w:ind w:left="-106" w:leftChars="-51" w:right="-107" w:rightChars="-51" w:hanging="1"/>
              <w:jc w:val="center"/>
              <w:rPr>
                <w:rFonts w:ascii="Times New Roman" w:hAnsi="Times New Roman" w:eastAsia="黑体" w:cs="Times New Roman"/>
                <w:szCs w:val="21"/>
              </w:rPr>
            </w:pPr>
            <w:r>
              <w:rPr>
                <w:rFonts w:ascii="Times New Roman" w:hAnsi="Times New Roman" w:eastAsia="黑体" w:cs="Times New Roman"/>
                <w:kern w:val="0"/>
                <w:szCs w:val="21"/>
              </w:rPr>
              <w:t>法律服务机构</w:t>
            </w:r>
          </w:p>
        </w:tc>
        <w:tc>
          <w:tcPr>
            <w:tcW w:w="567" w:type="dxa"/>
            <w:shd w:val="clear" w:color="auto" w:fill="auto"/>
            <w:tcMar>
              <w:left w:w="108" w:type="dxa"/>
              <w:right w:w="108" w:type="dxa"/>
            </w:tcMar>
            <w:vAlign w:val="center"/>
          </w:tcPr>
          <w:p>
            <w:pPr>
              <w:widowControl/>
              <w:spacing w:line="360" w:lineRule="exact"/>
              <w:ind w:left="-63" w:leftChars="-30" w:right="-134" w:rightChars="-64"/>
              <w:jc w:val="center"/>
              <w:rPr>
                <w:rFonts w:ascii="Times New Roman" w:hAnsi="Times New Roman" w:eastAsia="黑体" w:cs="Times New Roman"/>
                <w:szCs w:val="21"/>
              </w:rPr>
            </w:pPr>
            <w:r>
              <w:rPr>
                <w:rFonts w:ascii="Times New Roman" w:hAnsi="Times New Roman" w:eastAsia="黑体" w:cs="Times New Roman"/>
                <w:kern w:val="0"/>
                <w:szCs w:val="21"/>
              </w:rPr>
              <w:t>其他</w:t>
            </w:r>
          </w:p>
        </w:tc>
        <w:tc>
          <w:tcPr>
            <w:tcW w:w="851" w:type="dxa"/>
            <w:vMerge w:val="continue"/>
            <w:shd w:val="clear" w:color="auto" w:fill="auto"/>
            <w:tcMar>
              <w:left w:w="108" w:type="dxa"/>
              <w:right w:w="108" w:type="dxa"/>
            </w:tcMar>
            <w:vAlign w:val="center"/>
          </w:tcPr>
          <w:p>
            <w:pPr>
              <w:jc w:val="center"/>
              <w:rPr>
                <w:rFonts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093" w:type="dxa"/>
            <w:gridSpan w:val="3"/>
            <w:shd w:val="clear" w:color="auto" w:fill="auto"/>
            <w:tcMar>
              <w:left w:w="108" w:type="dxa"/>
              <w:right w:w="108" w:type="dxa"/>
            </w:tcMar>
            <w:vAlign w:val="center"/>
          </w:tcPr>
          <w:p>
            <w:pPr>
              <w:widowControl/>
              <w:rPr>
                <w:rFonts w:ascii="Times New Roman" w:hAnsi="Times New Roman" w:eastAsia="黑体" w:cs="Times New Roman"/>
                <w:szCs w:val="21"/>
              </w:rPr>
            </w:pPr>
            <w:r>
              <w:rPr>
                <w:rFonts w:ascii="Times New Roman" w:hAnsi="Times New Roman" w:eastAsia="黑体" w:cs="Times New Roman"/>
                <w:kern w:val="0"/>
                <w:szCs w:val="21"/>
              </w:rPr>
              <w:t>一、</w:t>
            </w:r>
            <w:bookmarkStart w:id="0" w:name="_Hlk66973412"/>
            <w:r>
              <w:rPr>
                <w:rFonts w:ascii="Times New Roman" w:hAnsi="Times New Roman" w:eastAsia="黑体" w:cs="Times New Roman"/>
                <w:kern w:val="0"/>
                <w:szCs w:val="21"/>
              </w:rPr>
              <w:t>本年新收政府信息公开申请数量</w:t>
            </w:r>
            <w:bookmarkEnd w:id="0"/>
          </w:p>
        </w:tc>
        <w:tc>
          <w:tcPr>
            <w:tcW w:w="829" w:type="dxa"/>
            <w:shd w:val="clear" w:color="auto" w:fill="auto"/>
            <w:tcMar>
              <w:left w:w="108" w:type="dxa"/>
              <w:right w:w="108" w:type="dxa"/>
            </w:tcMar>
            <w:vAlign w:val="center"/>
          </w:tcPr>
          <w:p>
            <w:pPr>
              <w:widowControl/>
              <w:spacing w:after="180"/>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1</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hint="eastAsia"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093" w:type="dxa"/>
            <w:gridSpan w:val="3"/>
            <w:shd w:val="clear" w:color="auto" w:fill="auto"/>
            <w:tcMar>
              <w:left w:w="108" w:type="dxa"/>
              <w:right w:w="108" w:type="dxa"/>
            </w:tcMar>
            <w:vAlign w:val="center"/>
          </w:tcPr>
          <w:p>
            <w:pPr>
              <w:widowControl/>
              <w:rPr>
                <w:rFonts w:ascii="Times New Roman" w:hAnsi="Times New Roman" w:eastAsia="黑体" w:cs="Times New Roman"/>
                <w:szCs w:val="21"/>
              </w:rPr>
            </w:pPr>
            <w:r>
              <w:rPr>
                <w:rFonts w:ascii="Times New Roman" w:hAnsi="Times New Roman" w:eastAsia="黑体" w:cs="Times New Roman"/>
                <w:kern w:val="0"/>
                <w:szCs w:val="21"/>
              </w:rPr>
              <w:t>二、上年结转政府信息公开申请数量</w:t>
            </w:r>
          </w:p>
        </w:tc>
        <w:tc>
          <w:tcPr>
            <w:tcW w:w="829" w:type="dxa"/>
            <w:shd w:val="clear" w:color="auto" w:fill="auto"/>
            <w:tcMar>
              <w:left w:w="108" w:type="dxa"/>
              <w:right w:w="108" w:type="dxa"/>
            </w:tcMar>
            <w:vAlign w:val="center"/>
          </w:tcPr>
          <w:p>
            <w:pPr>
              <w:widowControl/>
              <w:spacing w:after="180"/>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1</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restart"/>
            <w:shd w:val="clear" w:color="auto" w:fill="auto"/>
            <w:tcMar>
              <w:left w:w="108" w:type="dxa"/>
              <w:right w:w="108" w:type="dxa"/>
            </w:tcMar>
            <w:vAlign w:val="center"/>
          </w:tcPr>
          <w:p>
            <w:pPr>
              <w:widowControl/>
              <w:spacing w:after="180"/>
              <w:rPr>
                <w:rFonts w:ascii="Times New Roman" w:hAnsi="Times New Roman" w:eastAsia="黑体" w:cs="Times New Roman"/>
                <w:szCs w:val="21"/>
              </w:rPr>
            </w:pPr>
            <w:r>
              <w:rPr>
                <w:rFonts w:ascii="Times New Roman" w:hAnsi="Times New Roman" w:eastAsia="黑体" w:cs="Times New Roman"/>
                <w:kern w:val="0"/>
                <w:szCs w:val="21"/>
              </w:rPr>
              <w:t>三、本年度办理结果</w:t>
            </w:r>
          </w:p>
        </w:tc>
        <w:tc>
          <w:tcPr>
            <w:tcW w:w="4677" w:type="dxa"/>
            <w:gridSpan w:val="2"/>
            <w:shd w:val="clear" w:color="auto" w:fill="auto"/>
            <w:tcMar>
              <w:left w:w="108" w:type="dxa"/>
              <w:right w:w="108" w:type="dxa"/>
            </w:tcMar>
            <w:vAlign w:val="center"/>
          </w:tcPr>
          <w:p>
            <w:pPr>
              <w:widowControl/>
              <w:rPr>
                <w:rFonts w:ascii="Times New Roman" w:hAnsi="Times New Roman" w:eastAsia="黑体" w:cs="Times New Roman"/>
                <w:szCs w:val="21"/>
              </w:rPr>
            </w:pPr>
            <w:r>
              <w:rPr>
                <w:rFonts w:ascii="Times New Roman" w:hAnsi="Times New Roman" w:eastAsia="黑体" w:cs="Times New Roman"/>
                <w:kern w:val="0"/>
                <w:szCs w:val="21"/>
              </w:rPr>
              <w:t>（一）予以公开</w:t>
            </w:r>
          </w:p>
        </w:tc>
        <w:tc>
          <w:tcPr>
            <w:tcW w:w="829" w:type="dxa"/>
            <w:shd w:val="clear" w:color="auto" w:fill="auto"/>
            <w:tcMar>
              <w:left w:w="108" w:type="dxa"/>
              <w:right w:w="108" w:type="dxa"/>
            </w:tcMar>
            <w:vAlign w:val="center"/>
          </w:tcPr>
          <w:p>
            <w:pPr>
              <w:widowControl/>
              <w:spacing w:after="180"/>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1</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hint="eastAsia"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4677" w:type="dxa"/>
            <w:gridSpan w:val="2"/>
            <w:shd w:val="clear" w:color="auto" w:fill="auto"/>
            <w:tcMar>
              <w:left w:w="108" w:type="dxa"/>
              <w:right w:w="108" w:type="dxa"/>
            </w:tcMar>
            <w:vAlign w:val="center"/>
          </w:tcPr>
          <w:p>
            <w:pPr>
              <w:widowControl/>
              <w:rPr>
                <w:rFonts w:ascii="Times New Roman" w:hAnsi="Times New Roman" w:eastAsia="黑体" w:cs="Times New Roman"/>
                <w:szCs w:val="21"/>
              </w:rPr>
            </w:pPr>
            <w:r>
              <w:rPr>
                <w:rFonts w:ascii="Times New Roman" w:hAnsi="Times New Roman" w:eastAsia="黑体" w:cs="Times New Roman"/>
                <w:kern w:val="0"/>
                <w:szCs w:val="21"/>
              </w:rPr>
              <w:t>（二）部分公开（</w:t>
            </w:r>
            <w:bookmarkStart w:id="1" w:name="_Hlk66973981"/>
            <w:r>
              <w:rPr>
                <w:rFonts w:ascii="Times New Roman" w:hAnsi="Times New Roman" w:eastAsia="黑体" w:cs="Times New Roman"/>
                <w:kern w:val="0"/>
                <w:szCs w:val="21"/>
              </w:rPr>
              <w:t>区分处理的，只计这一情形，不计其他情形</w:t>
            </w:r>
            <w:bookmarkEnd w:id="1"/>
            <w:r>
              <w:rPr>
                <w:rFonts w:ascii="Times New Roman" w:hAnsi="Times New Roman" w:eastAsia="黑体" w:cs="Times New Roman"/>
                <w:kern w:val="0"/>
                <w:szCs w:val="21"/>
              </w:rPr>
              <w:t>）</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Times New Roman" w:hAnsi="Times New Roman" w:eastAsia="黑体" w:cs="Times New Roman"/>
                <w:szCs w:val="21"/>
              </w:rPr>
            </w:pPr>
            <w:r>
              <w:rPr>
                <w:rFonts w:ascii="Times New Roman" w:hAnsi="Times New Roman" w:eastAsia="黑体" w:cs="Times New Roman"/>
                <w:kern w:val="0"/>
                <w:szCs w:val="21"/>
              </w:rPr>
              <w:t>（三）不予公开</w:t>
            </w: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1.属于国家秘密</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2.</w:t>
            </w:r>
            <w:bookmarkStart w:id="2" w:name="_Hlk66974104"/>
            <w:r>
              <w:rPr>
                <w:rFonts w:ascii="Times New Roman" w:hAnsi="Times New Roman" w:eastAsia="仿宋_GB2312" w:cs="Times New Roman"/>
                <w:kern w:val="0"/>
                <w:szCs w:val="21"/>
              </w:rPr>
              <w:t>其他法律行政法规禁止公开</w:t>
            </w:r>
            <w:bookmarkEnd w:id="2"/>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3.危及“三安全一稳定”</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4.</w:t>
            </w:r>
            <w:bookmarkStart w:id="3" w:name="_Hlk66974290"/>
            <w:r>
              <w:rPr>
                <w:rFonts w:ascii="Times New Roman" w:hAnsi="Times New Roman" w:eastAsia="仿宋_GB2312" w:cs="Times New Roman"/>
                <w:kern w:val="0"/>
                <w:szCs w:val="21"/>
              </w:rPr>
              <w:t>保护第三方合法权益</w:t>
            </w:r>
            <w:bookmarkEnd w:id="3"/>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5.属于三类内部事务信息</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6.</w:t>
            </w:r>
            <w:bookmarkStart w:id="4" w:name="_Hlk66974555"/>
            <w:r>
              <w:rPr>
                <w:rFonts w:ascii="Times New Roman" w:hAnsi="Times New Roman" w:eastAsia="仿宋_GB2312" w:cs="Times New Roman"/>
                <w:kern w:val="0"/>
                <w:szCs w:val="21"/>
              </w:rPr>
              <w:t>属于四类过程性信息</w:t>
            </w:r>
            <w:bookmarkEnd w:id="4"/>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7.属于行政执法案卷</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8.</w:t>
            </w:r>
            <w:bookmarkStart w:id="5" w:name="_Hlk66975211"/>
            <w:r>
              <w:rPr>
                <w:rFonts w:ascii="Times New Roman" w:hAnsi="Times New Roman" w:eastAsia="仿宋_GB2312" w:cs="Times New Roman"/>
                <w:kern w:val="0"/>
                <w:szCs w:val="21"/>
              </w:rPr>
              <w:t>属于行政查询事项</w:t>
            </w:r>
            <w:bookmarkEnd w:id="5"/>
          </w:p>
        </w:tc>
        <w:tc>
          <w:tcPr>
            <w:tcW w:w="829" w:type="dxa"/>
            <w:shd w:val="clear" w:color="auto" w:fill="auto"/>
            <w:tcMar>
              <w:left w:w="108" w:type="dxa"/>
              <w:right w:w="108" w:type="dxa"/>
            </w:tcMar>
            <w:vAlign w:val="center"/>
          </w:tcPr>
          <w:p>
            <w:pPr>
              <w:widowControl/>
              <w:spacing w:after="180"/>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1</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Times New Roman" w:hAnsi="Times New Roman" w:eastAsia="黑体" w:cs="Times New Roman"/>
                <w:szCs w:val="21"/>
              </w:rPr>
            </w:pPr>
            <w:r>
              <w:rPr>
                <w:rFonts w:ascii="Times New Roman" w:hAnsi="Times New Roman" w:eastAsia="黑体" w:cs="Times New Roman"/>
                <w:kern w:val="0"/>
                <w:szCs w:val="21"/>
              </w:rPr>
              <w:t>（四）无法提供</w:t>
            </w: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1.本机关不掌握相关政府信息</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2.</w:t>
            </w:r>
            <w:bookmarkStart w:id="6" w:name="_Hlk66975392"/>
            <w:r>
              <w:rPr>
                <w:rFonts w:ascii="Times New Roman" w:hAnsi="Times New Roman" w:eastAsia="仿宋_GB2312" w:cs="Times New Roman"/>
                <w:kern w:val="0"/>
                <w:szCs w:val="21"/>
              </w:rPr>
              <w:t>没有现成信息需要另行制作</w:t>
            </w:r>
            <w:bookmarkEnd w:id="6"/>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3.</w:t>
            </w:r>
            <w:bookmarkStart w:id="7" w:name="_Hlk66975466"/>
            <w:r>
              <w:rPr>
                <w:rFonts w:ascii="Times New Roman" w:hAnsi="Times New Roman" w:eastAsia="仿宋_GB2312" w:cs="Times New Roman"/>
                <w:kern w:val="0"/>
                <w:szCs w:val="21"/>
              </w:rPr>
              <w:t>补正后申请内容仍不明确</w:t>
            </w:r>
            <w:bookmarkEnd w:id="7"/>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Times New Roman" w:hAnsi="Times New Roman" w:eastAsia="黑体" w:cs="Times New Roman"/>
                <w:szCs w:val="21"/>
              </w:rPr>
            </w:pPr>
            <w:r>
              <w:rPr>
                <w:rFonts w:ascii="Times New Roman" w:hAnsi="Times New Roman" w:eastAsia="黑体" w:cs="Times New Roman"/>
                <w:kern w:val="0"/>
                <w:szCs w:val="21"/>
              </w:rPr>
              <w:t>（五）不予处理</w:t>
            </w: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1.</w:t>
            </w:r>
            <w:bookmarkStart w:id="8" w:name="_Hlk66975537"/>
            <w:r>
              <w:rPr>
                <w:rFonts w:ascii="Times New Roman" w:hAnsi="Times New Roman" w:eastAsia="仿宋_GB2312" w:cs="Times New Roman"/>
                <w:kern w:val="0"/>
                <w:szCs w:val="21"/>
              </w:rPr>
              <w:t>信访举报投诉类申请</w:t>
            </w:r>
            <w:bookmarkEnd w:id="8"/>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2.重复申请</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szCs w:val="21"/>
              </w:rPr>
            </w:pPr>
            <w:r>
              <w:rPr>
                <w:rFonts w:ascii="Times New Roman" w:hAnsi="Times New Roman" w:eastAsia="仿宋_GB2312" w:cs="Times New Roman"/>
                <w:kern w:val="0"/>
                <w:szCs w:val="21"/>
              </w:rPr>
              <w:t>3.要求提供公开出版物</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97" w:hRule="exact"/>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ascii="Times New Roman" w:hAnsi="Times New Roman" w:eastAsia="仿宋_GB2312" w:cs="Times New Roman"/>
                <w:szCs w:val="21"/>
              </w:rPr>
            </w:pPr>
            <w:r>
              <w:rPr>
                <w:rFonts w:ascii="Times New Roman" w:hAnsi="Times New Roman" w:eastAsia="仿宋_GB2312" w:cs="Times New Roman"/>
                <w:kern w:val="0"/>
                <w:szCs w:val="21"/>
              </w:rPr>
              <w:t>4.无正当理由大量反复申请</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300" w:lineRule="exact"/>
              <w:rPr>
                <w:rFonts w:ascii="Times New Roman" w:hAnsi="Times New Roman" w:eastAsia="仿宋_GB2312" w:cs="Times New Roman"/>
                <w:kern w:val="0"/>
                <w:szCs w:val="21"/>
              </w:rPr>
            </w:pPr>
            <w:r>
              <w:rPr>
                <w:rFonts w:ascii="Times New Roman" w:hAnsi="Times New Roman" w:eastAsia="仿宋_GB2312" w:cs="Times New Roman"/>
                <w:kern w:val="0"/>
                <w:szCs w:val="21"/>
              </w:rPr>
              <w:t>5.要求行政机关确认或重新</w:t>
            </w:r>
          </w:p>
          <w:p>
            <w:pPr>
              <w:widowControl/>
              <w:spacing w:line="300" w:lineRule="exact"/>
              <w:ind w:firstLine="210" w:firstLineChars="100"/>
              <w:rPr>
                <w:rFonts w:ascii="Times New Roman" w:hAnsi="Times New Roman" w:eastAsia="仿宋_GB2312" w:cs="Times New Roman"/>
                <w:szCs w:val="21"/>
              </w:rPr>
            </w:pPr>
            <w:r>
              <w:rPr>
                <w:rFonts w:ascii="Times New Roman" w:hAnsi="Times New Roman" w:eastAsia="仿宋_GB2312" w:cs="Times New Roman"/>
                <w:kern w:val="0"/>
                <w:szCs w:val="21"/>
              </w:rPr>
              <w:t>出具已获取信息</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300" w:lineRule="exact"/>
              <w:rPr>
                <w:rFonts w:ascii="Times New Roman" w:hAnsi="Times New Roman" w:eastAsia="黑体" w:cs="Times New Roman"/>
                <w:kern w:val="0"/>
                <w:szCs w:val="21"/>
              </w:rPr>
            </w:pPr>
            <w:r>
              <w:rPr>
                <w:rFonts w:ascii="Times New Roman" w:hAnsi="Times New Roman" w:eastAsia="黑体" w:cs="Times New Roman"/>
                <w:kern w:val="0"/>
                <w:szCs w:val="21"/>
              </w:rPr>
              <w:t>（六）其他处理</w:t>
            </w:r>
          </w:p>
        </w:tc>
        <w:tc>
          <w:tcPr>
            <w:tcW w:w="2976" w:type="dxa"/>
            <w:shd w:val="clear" w:color="auto" w:fill="auto"/>
            <w:vAlign w:val="center"/>
          </w:tcPr>
          <w:p>
            <w:pPr>
              <w:widowControl/>
              <w:spacing w:line="300" w:lineRule="exact"/>
              <w:rPr>
                <w:rFonts w:ascii="Times New Roman" w:hAnsi="Times New Roman" w:eastAsia="仿宋_GB2312" w:cs="Times New Roman"/>
              </w:rPr>
            </w:pPr>
            <w:r>
              <w:rPr>
                <w:rFonts w:ascii="Times New Roman" w:hAnsi="Times New Roman" w:eastAsia="仿宋_GB2312" w:cs="Times New Roman"/>
              </w:rPr>
              <w:t>1.申请人无正当理由逾期不补正、行政机关不再处理其政府信息公开申请</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widowControl/>
              <w:spacing w:line="300" w:lineRule="exact"/>
              <w:rPr>
                <w:rFonts w:ascii="Times New Roman" w:hAnsi="Times New Roman" w:eastAsia="黑体" w:cs="Times New Roman"/>
                <w:kern w:val="0"/>
                <w:szCs w:val="21"/>
              </w:rPr>
            </w:pPr>
          </w:p>
        </w:tc>
        <w:tc>
          <w:tcPr>
            <w:tcW w:w="2976" w:type="dxa"/>
            <w:shd w:val="clear" w:color="auto" w:fill="auto"/>
            <w:vAlign w:val="center"/>
          </w:tcPr>
          <w:p>
            <w:pPr>
              <w:widowControl/>
              <w:spacing w:line="300" w:lineRule="exact"/>
              <w:rPr>
                <w:rFonts w:ascii="Times New Roman" w:hAnsi="Times New Roman" w:eastAsia="仿宋_GB2312" w:cs="Times New Roman"/>
                <w:kern w:val="0"/>
                <w:szCs w:val="21"/>
              </w:rPr>
            </w:pPr>
            <w:r>
              <w:rPr>
                <w:rFonts w:ascii="Times New Roman" w:hAnsi="Times New Roman" w:eastAsia="仿宋_GB2312" w:cs="Times New Roman"/>
              </w:rPr>
              <w:t>2.申请人逾期未按收费通知要求缴纳费用、行政机关不再处理其政府信息公开申请</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widowControl/>
              <w:spacing w:line="300" w:lineRule="exact"/>
              <w:rPr>
                <w:rFonts w:ascii="Times New Roman" w:hAnsi="Times New Roman" w:eastAsia="黑体" w:cs="Times New Roman"/>
                <w:kern w:val="0"/>
                <w:szCs w:val="21"/>
              </w:rPr>
            </w:pPr>
          </w:p>
        </w:tc>
        <w:tc>
          <w:tcPr>
            <w:tcW w:w="2976" w:type="dxa"/>
            <w:shd w:val="clear" w:color="auto" w:fill="auto"/>
            <w:vAlign w:val="center"/>
          </w:tcPr>
          <w:p>
            <w:pPr>
              <w:widowControl/>
              <w:spacing w:line="300" w:lineRule="exact"/>
              <w:rPr>
                <w:rFonts w:ascii="Times New Roman" w:hAnsi="Times New Roman" w:eastAsia="仿宋_GB2312" w:cs="Times New Roman"/>
                <w:kern w:val="0"/>
                <w:szCs w:val="21"/>
              </w:rPr>
            </w:pPr>
            <w:r>
              <w:rPr>
                <w:rFonts w:ascii="Times New Roman" w:hAnsi="Times New Roman" w:eastAsia="仿宋_GB2312" w:cs="Times New Roman"/>
              </w:rPr>
              <w:t>3.其他</w:t>
            </w:r>
          </w:p>
        </w:tc>
        <w:tc>
          <w:tcPr>
            <w:tcW w:w="829" w:type="dxa"/>
            <w:shd w:val="clear" w:color="auto" w:fill="auto"/>
            <w:tcMar>
              <w:left w:w="108" w:type="dxa"/>
              <w:right w:w="108" w:type="dxa"/>
            </w:tcMar>
            <w:vAlign w:val="center"/>
          </w:tcPr>
          <w:p>
            <w:pPr>
              <w:widowControl/>
              <w:spacing w:after="180"/>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Times New Roman" w:hAnsi="Times New Roman" w:eastAsia="黑体" w:cs="Times New Roman"/>
                <w:szCs w:val="21"/>
              </w:rPr>
            </w:pPr>
          </w:p>
        </w:tc>
        <w:tc>
          <w:tcPr>
            <w:tcW w:w="4677" w:type="dxa"/>
            <w:gridSpan w:val="2"/>
            <w:shd w:val="clear" w:color="auto" w:fill="auto"/>
            <w:tcMar>
              <w:left w:w="108" w:type="dxa"/>
              <w:right w:w="108" w:type="dxa"/>
            </w:tcMar>
            <w:vAlign w:val="center"/>
          </w:tcPr>
          <w:p>
            <w:pPr>
              <w:widowControl/>
              <w:spacing w:line="300" w:lineRule="exact"/>
              <w:rPr>
                <w:rFonts w:ascii="Times New Roman" w:hAnsi="Times New Roman" w:eastAsia="黑体" w:cs="Times New Roman"/>
                <w:kern w:val="0"/>
                <w:szCs w:val="21"/>
              </w:rPr>
            </w:pPr>
            <w:r>
              <w:rPr>
                <w:rFonts w:ascii="Times New Roman" w:hAnsi="Times New Roman" w:eastAsia="黑体" w:cs="Times New Roman"/>
                <w:kern w:val="0"/>
                <w:szCs w:val="21"/>
              </w:rPr>
              <w:t>（七）总计</w:t>
            </w:r>
          </w:p>
        </w:tc>
        <w:tc>
          <w:tcPr>
            <w:tcW w:w="829" w:type="dxa"/>
            <w:shd w:val="clear" w:color="auto" w:fill="auto"/>
            <w:tcMar>
              <w:left w:w="108" w:type="dxa"/>
              <w:right w:w="108" w:type="dxa"/>
            </w:tcMar>
            <w:vAlign w:val="center"/>
          </w:tcPr>
          <w:p>
            <w:pPr>
              <w:widowControl/>
              <w:spacing w:after="180" w:line="200" w:lineRule="exact"/>
              <w:jc w:val="center"/>
              <w:rPr>
                <w:rFonts w:hint="eastAsia" w:ascii="Times New Roman" w:hAnsi="Times New Roman" w:eastAsia="仿宋_GB2312" w:cs="Times New Roman"/>
                <w:szCs w:val="21"/>
                <w:lang w:eastAsia="zh-CN"/>
              </w:rPr>
            </w:pPr>
            <w:r>
              <w:rPr>
                <w:rFonts w:hint="eastAsia" w:ascii="Times New Roman" w:hAnsi="Times New Roman" w:eastAsia="仿宋_GB2312" w:cs="Times New Roman"/>
                <w:szCs w:val="21"/>
                <w:lang w:val="en-US" w:eastAsia="zh-CN"/>
              </w:rPr>
              <w:t>2</w:t>
            </w:r>
          </w:p>
        </w:tc>
        <w:tc>
          <w:tcPr>
            <w:tcW w:w="567" w:type="dxa"/>
            <w:shd w:val="clear" w:color="auto" w:fill="auto"/>
            <w:tcMar>
              <w:left w:w="108" w:type="dxa"/>
              <w:right w:w="108" w:type="dxa"/>
            </w:tcMar>
            <w:vAlign w:val="center"/>
          </w:tcPr>
          <w:p>
            <w:pPr>
              <w:widowControl/>
              <w:spacing w:after="180" w:line="200" w:lineRule="exact"/>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hint="eastAsia" w:ascii="Times New Roman" w:hAnsi="Times New Roman" w:eastAsia="仿宋_GB2312" w:cs="Times New Roman"/>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5093" w:type="dxa"/>
            <w:gridSpan w:val="3"/>
            <w:shd w:val="clear" w:color="auto" w:fill="auto"/>
            <w:tcMar>
              <w:left w:w="108" w:type="dxa"/>
              <w:right w:w="108" w:type="dxa"/>
            </w:tcMar>
            <w:vAlign w:val="center"/>
          </w:tcPr>
          <w:p>
            <w:pPr>
              <w:widowControl/>
              <w:spacing w:line="300" w:lineRule="exact"/>
              <w:rPr>
                <w:rFonts w:ascii="Times New Roman" w:hAnsi="Times New Roman" w:eastAsia="黑体" w:cs="Times New Roman"/>
                <w:kern w:val="0"/>
                <w:szCs w:val="21"/>
              </w:rPr>
            </w:pPr>
            <w:r>
              <w:rPr>
                <w:rFonts w:ascii="Times New Roman" w:hAnsi="Times New Roman" w:eastAsia="黑体" w:cs="Times New Roman"/>
                <w:kern w:val="0"/>
                <w:szCs w:val="21"/>
              </w:rPr>
              <w:t>四、结转下年度继续办理</w:t>
            </w:r>
          </w:p>
        </w:tc>
        <w:tc>
          <w:tcPr>
            <w:tcW w:w="829"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3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708"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567"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c>
          <w:tcPr>
            <w:tcW w:w="851" w:type="dxa"/>
            <w:shd w:val="clear" w:color="auto" w:fill="auto"/>
            <w:tcMar>
              <w:left w:w="108" w:type="dxa"/>
              <w:right w:w="108" w:type="dxa"/>
            </w:tcMar>
            <w:vAlign w:val="center"/>
          </w:tcPr>
          <w:p>
            <w:pPr>
              <w:widowControl/>
              <w:spacing w:after="180"/>
              <w:jc w:val="center"/>
              <w:rPr>
                <w:rFonts w:ascii="Times New Roman" w:hAnsi="Times New Roman" w:eastAsia="仿宋_GB2312" w:cs="Times New Roman"/>
                <w:szCs w:val="21"/>
              </w:rPr>
            </w:pPr>
            <w:r>
              <w:rPr>
                <w:rFonts w:ascii="Times New Roman" w:hAnsi="Times New Roman" w:eastAsia="仿宋_GB2312" w:cs="Times New Roman"/>
                <w:szCs w:val="21"/>
              </w:rPr>
              <w:t>0</w:t>
            </w:r>
          </w:p>
        </w:tc>
      </w:tr>
    </w:tbl>
    <w:p>
      <w:pPr>
        <w:pStyle w:val="4"/>
        <w:widowControl/>
        <w:spacing w:line="315" w:lineRule="atLeast"/>
        <w:ind w:firstLine="620" w:firstLineChars="200"/>
        <w:rPr>
          <w:rFonts w:ascii="Times New Roman" w:hAnsi="Times New Roman"/>
        </w:rPr>
      </w:pPr>
      <w:r>
        <w:rPr>
          <w:rFonts w:ascii="Times New Roman" w:hAnsi="Times New Roman" w:eastAsia="黑体"/>
          <w:sz w:val="31"/>
          <w:szCs w:val="31"/>
        </w:rPr>
        <w:t>四、因政府信息公开工作被申请行政复议、提起行政诉讼情况</w:t>
      </w:r>
    </w:p>
    <w:tbl>
      <w:tblPr>
        <w:tblStyle w:val="5"/>
        <w:tblW w:w="9071"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97" w:hRule="atLeast"/>
          <w:jc w:val="center"/>
        </w:trPr>
        <w:tc>
          <w:tcPr>
            <w:tcW w:w="3074"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r>
              <w:rPr>
                <w:rFonts w:ascii="Times New Roman" w:hAnsi="Times New Roman" w:eastAsia="黑体" w:cs="Times New Roman"/>
                <w:kern w:val="0"/>
                <w:sz w:val="20"/>
                <w:szCs w:val="20"/>
              </w:rPr>
              <w:t>行政复议</w:t>
            </w:r>
          </w:p>
        </w:tc>
        <w:tc>
          <w:tcPr>
            <w:tcW w:w="5997" w:type="dxa"/>
            <w:gridSpan w:val="10"/>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r>
              <w:rPr>
                <w:rFonts w:ascii="Times New Roman" w:hAnsi="Times New Roman" w:eastAsia="黑体" w:cs="Times New Roman"/>
                <w:kern w:val="0"/>
                <w:sz w:val="20"/>
                <w:szCs w:val="20"/>
              </w:rPr>
              <w:t>行政诉讼</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47" w:hRule="atLeast"/>
          <w:jc w:val="center"/>
        </w:trPr>
        <w:tc>
          <w:tcPr>
            <w:tcW w:w="604"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widowControl/>
              <w:ind w:left="-149" w:leftChars="-71" w:right="-170" w:rightChars="-81"/>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结果</w:t>
            </w:r>
          </w:p>
          <w:p>
            <w:pPr>
              <w:widowControl/>
              <w:ind w:left="-149" w:leftChars="-71" w:right="-170" w:rightChars="-81"/>
              <w:jc w:val="center"/>
              <w:rPr>
                <w:rFonts w:ascii="Times New Roman" w:hAnsi="Times New Roman" w:eastAsia="黑体" w:cs="Times New Roman"/>
              </w:rPr>
            </w:pPr>
            <w:r>
              <w:rPr>
                <w:rFonts w:ascii="Times New Roman" w:hAnsi="Times New Roman" w:eastAsia="黑体" w:cs="Times New Roman"/>
                <w:kern w:val="0"/>
                <w:sz w:val="20"/>
                <w:szCs w:val="20"/>
              </w:rPr>
              <w:t>维持</w:t>
            </w:r>
          </w:p>
        </w:tc>
        <w:tc>
          <w:tcPr>
            <w:tcW w:w="604" w:type="dxa"/>
            <w:vMerge w:val="restart"/>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43" w:leftChars="-21" w:right="-132" w:rightChars="-63" w:hanging="1"/>
              <w:jc w:val="center"/>
              <w:rPr>
                <w:rFonts w:ascii="Times New Roman" w:hAnsi="Times New Roman" w:eastAsia="黑体" w:cs="Times New Roman"/>
              </w:rPr>
            </w:pPr>
            <w:r>
              <w:rPr>
                <w:rFonts w:ascii="Times New Roman" w:hAnsi="Times New Roman" w:eastAsia="黑体" w:cs="Times New Roman"/>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82" w:leftChars="-39" w:right="-97" w:rightChars="-46"/>
              <w:jc w:val="center"/>
              <w:rPr>
                <w:rFonts w:ascii="Times New Roman" w:hAnsi="Times New Roman" w:eastAsia="黑体" w:cs="Times New Roman"/>
              </w:rPr>
            </w:pPr>
            <w:r>
              <w:rPr>
                <w:rFonts w:ascii="Times New Roman" w:hAnsi="Times New Roman" w:eastAsia="黑体" w:cs="Times New Roman"/>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18" w:leftChars="-56" w:right="-118" w:rightChars="-56"/>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尚未</w:t>
            </w:r>
          </w:p>
          <w:p>
            <w:pPr>
              <w:widowControl/>
              <w:ind w:left="-118" w:leftChars="-56" w:right="-118" w:rightChars="-56"/>
              <w:jc w:val="center"/>
              <w:rPr>
                <w:rFonts w:ascii="Times New Roman" w:hAnsi="Times New Roman" w:eastAsia="黑体" w:cs="Times New Roman"/>
              </w:rPr>
            </w:pPr>
            <w:r>
              <w:rPr>
                <w:rFonts w:ascii="Times New Roman" w:hAnsi="Times New Roman" w:eastAsia="黑体" w:cs="Times New Roman"/>
                <w:kern w:val="0"/>
                <w:sz w:val="20"/>
                <w:szCs w:val="20"/>
              </w:rPr>
              <w:t>审结</w:t>
            </w:r>
          </w:p>
        </w:tc>
        <w:tc>
          <w:tcPr>
            <w:tcW w:w="658"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spacing w:line="320" w:lineRule="exact"/>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总</w:t>
            </w:r>
          </w:p>
          <w:p>
            <w:pPr>
              <w:widowControl/>
              <w:spacing w:line="320" w:lineRule="exact"/>
              <w:jc w:val="center"/>
              <w:rPr>
                <w:rFonts w:ascii="Times New Roman" w:hAnsi="Times New Roman" w:eastAsia="黑体" w:cs="Times New Roman"/>
              </w:rPr>
            </w:pPr>
            <w:r>
              <w:rPr>
                <w:rFonts w:ascii="Times New Roman" w:hAnsi="Times New Roman" w:eastAsia="黑体" w:cs="Times New Roman"/>
                <w:kern w:val="0"/>
                <w:sz w:val="20"/>
                <w:szCs w:val="20"/>
              </w:rPr>
              <w:t>计</w:t>
            </w:r>
          </w:p>
        </w:tc>
        <w:tc>
          <w:tcPr>
            <w:tcW w:w="2970"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r>
              <w:rPr>
                <w:rFonts w:ascii="Times New Roman" w:hAnsi="Times New Roman" w:eastAsia="黑体" w:cs="Times New Roman"/>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bookmarkStart w:id="9" w:name="_Hlk67039688"/>
            <w:r>
              <w:rPr>
                <w:rFonts w:ascii="Times New Roman" w:hAnsi="Times New Roman" w:eastAsia="黑体" w:cs="Times New Roman"/>
                <w:kern w:val="0"/>
                <w:sz w:val="20"/>
                <w:szCs w:val="20"/>
              </w:rPr>
              <w:t>复议后起诉</w:t>
            </w:r>
            <w:bookmarkEnd w:id="9"/>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06" w:hRule="atLeast"/>
          <w:jc w:val="center"/>
        </w:trPr>
        <w:tc>
          <w:tcPr>
            <w:tcW w:w="604"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Times New Roman" w:hAnsi="Times New Roman" w:eastAsia="黑体" w:cs="Times New Roman"/>
                <w:sz w:val="24"/>
              </w:rPr>
            </w:pPr>
          </w:p>
        </w:tc>
        <w:tc>
          <w:tcPr>
            <w:tcW w:w="604" w:type="dxa"/>
            <w:vMerge w:val="continue"/>
            <w:tcBorders>
              <w:top w:val="nil"/>
              <w:left w:val="nil"/>
              <w:bottom w:val="single" w:color="auto" w:sz="8" w:space="0"/>
              <w:right w:val="single" w:color="auto" w:sz="8" w:space="0"/>
            </w:tcBorders>
            <w:shd w:val="clear" w:color="auto" w:fill="auto"/>
            <w:tcMar>
              <w:left w:w="108" w:type="dxa"/>
              <w:right w:w="108" w:type="dxa"/>
            </w:tcMar>
            <w:vAlign w:val="center"/>
          </w:tcPr>
          <w:p>
            <w:pPr>
              <w:rPr>
                <w:rFonts w:ascii="Times New Roman" w:hAnsi="Times New Roman" w:eastAsia="黑体" w:cs="Times New Roman"/>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Times New Roman" w:hAnsi="Times New Roman" w:eastAsia="黑体" w:cs="Times New Roman"/>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Times New Roman" w:hAnsi="Times New Roman" w:eastAsia="黑体" w:cs="Times New Roman"/>
                <w:sz w:val="24"/>
              </w:rPr>
            </w:pPr>
          </w:p>
        </w:tc>
        <w:tc>
          <w:tcPr>
            <w:tcW w:w="658"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Times New Roman" w:hAnsi="Times New Roman" w:eastAsia="黑体" w:cs="Times New Roman"/>
                <w:sz w:val="24"/>
              </w:rPr>
            </w:pP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105" w:leftChars="-50" w:right="-126" w:rightChars="-60"/>
              <w:jc w:val="center"/>
              <w:rPr>
                <w:rFonts w:ascii="Times New Roman" w:hAnsi="Times New Roman" w:eastAsia="黑体" w:cs="Times New Roman"/>
              </w:rPr>
            </w:pPr>
            <w:r>
              <w:rPr>
                <w:rFonts w:ascii="Times New Roman" w:hAnsi="Times New Roman" w:eastAsia="黑体" w:cs="Times New Roman"/>
                <w:kern w:val="0"/>
                <w:sz w:val="20"/>
                <w:szCs w:val="20"/>
              </w:rPr>
              <w:t>结果维持</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86" w:leftChars="-41" w:right="-88" w:rightChars="-42"/>
              <w:jc w:val="center"/>
              <w:rPr>
                <w:rFonts w:ascii="Times New Roman" w:hAnsi="Times New Roman" w:eastAsia="黑体" w:cs="Times New Roman"/>
              </w:rPr>
            </w:pPr>
            <w:r>
              <w:rPr>
                <w:rFonts w:ascii="Times New Roman" w:hAnsi="Times New Roman" w:eastAsia="黑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26" w:leftChars="-60" w:right="-136" w:rightChars="-65"/>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其他</w:t>
            </w:r>
          </w:p>
          <w:p>
            <w:pPr>
              <w:widowControl/>
              <w:ind w:left="-126" w:leftChars="-60" w:right="-136" w:rightChars="-65"/>
              <w:jc w:val="center"/>
              <w:rPr>
                <w:rFonts w:ascii="Times New Roman" w:hAnsi="Times New Roman" w:eastAsia="黑体" w:cs="Times New Roman"/>
              </w:rPr>
            </w:pPr>
            <w:r>
              <w:rPr>
                <w:rFonts w:ascii="Times New Roman" w:hAnsi="Times New Roman" w:eastAsia="黑体" w:cs="Times New Roman"/>
                <w:kern w:val="0"/>
                <w:sz w:val="20"/>
                <w:szCs w:val="20"/>
              </w:rPr>
              <w:t>结果</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64" w:leftChars="-78" w:right="-153" w:rightChars="-73"/>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尚未</w:t>
            </w:r>
          </w:p>
          <w:p>
            <w:pPr>
              <w:widowControl/>
              <w:ind w:left="-164" w:leftChars="-78" w:right="-153" w:rightChars="-73"/>
              <w:jc w:val="center"/>
              <w:rPr>
                <w:rFonts w:ascii="Times New Roman" w:hAnsi="Times New Roman" w:eastAsia="黑体" w:cs="Times New Roman"/>
              </w:rPr>
            </w:pPr>
            <w:r>
              <w:rPr>
                <w:rFonts w:ascii="Times New Roman" w:hAnsi="Times New Roman" w:eastAsia="黑体" w:cs="Times New Roman"/>
                <w:kern w:val="0"/>
                <w:sz w:val="20"/>
                <w:szCs w:val="20"/>
              </w:rPr>
              <w:t>审结</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r>
              <w:rPr>
                <w:rFonts w:ascii="Times New Roman" w:hAnsi="Times New Roman" w:eastAsia="黑体" w:cs="Times New Roman"/>
                <w:kern w:val="0"/>
                <w:sz w:val="20"/>
                <w:szCs w:val="20"/>
              </w:rPr>
              <w:t>总计</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99" w:leftChars="-47" w:right="-78" w:rightChars="-37"/>
              <w:jc w:val="center"/>
              <w:rPr>
                <w:rFonts w:ascii="Times New Roman" w:hAnsi="Times New Roman" w:eastAsia="黑体" w:cs="Times New Roman"/>
              </w:rPr>
            </w:pPr>
            <w:r>
              <w:rPr>
                <w:rFonts w:ascii="Times New Roman" w:hAnsi="Times New Roman" w:eastAsia="黑体" w:cs="Times New Roman"/>
                <w:kern w:val="0"/>
                <w:sz w:val="20"/>
                <w:szCs w:val="20"/>
              </w:rPr>
              <w:t>结果维持</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36" w:leftChars="-65" w:right="-124" w:rightChars="-59"/>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结果</w:t>
            </w:r>
          </w:p>
          <w:p>
            <w:pPr>
              <w:widowControl/>
              <w:ind w:left="-136" w:leftChars="-65" w:right="-124" w:rightChars="-59"/>
              <w:jc w:val="center"/>
              <w:rPr>
                <w:rFonts w:ascii="Times New Roman" w:hAnsi="Times New Roman" w:eastAsia="黑体" w:cs="Times New Roman"/>
              </w:rPr>
            </w:pPr>
            <w:r>
              <w:rPr>
                <w:rFonts w:ascii="Times New Roman" w:hAnsi="Times New Roman" w:eastAsia="黑体" w:cs="Times New Roman"/>
                <w:kern w:val="0"/>
                <w:sz w:val="20"/>
                <w:szCs w:val="20"/>
              </w:rPr>
              <w:t>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73" w:leftChars="-83" w:right="-134" w:rightChars="-64" w:hanging="1"/>
              <w:jc w:val="center"/>
              <w:rPr>
                <w:rFonts w:ascii="Times New Roman" w:hAnsi="Times New Roman" w:eastAsia="黑体" w:cs="Times New Roman"/>
                <w:kern w:val="0"/>
                <w:sz w:val="20"/>
                <w:szCs w:val="20"/>
              </w:rPr>
            </w:pPr>
            <w:r>
              <w:rPr>
                <w:rFonts w:ascii="Times New Roman" w:hAnsi="Times New Roman" w:eastAsia="黑体" w:cs="Times New Roman"/>
                <w:kern w:val="0"/>
                <w:sz w:val="20"/>
                <w:szCs w:val="20"/>
              </w:rPr>
              <w:t>其他</w:t>
            </w:r>
          </w:p>
          <w:p>
            <w:pPr>
              <w:widowControl/>
              <w:ind w:left="-173" w:leftChars="-83" w:right="-134" w:rightChars="-64" w:hanging="1"/>
              <w:jc w:val="center"/>
              <w:rPr>
                <w:rFonts w:ascii="Times New Roman" w:hAnsi="Times New Roman" w:eastAsia="黑体" w:cs="Times New Roman"/>
              </w:rPr>
            </w:pPr>
            <w:r>
              <w:rPr>
                <w:rFonts w:ascii="Times New Roman" w:hAnsi="Times New Roman" w:eastAsia="黑体" w:cs="Times New Roman"/>
                <w:kern w:val="0"/>
                <w:sz w:val="20"/>
                <w:szCs w:val="20"/>
              </w:rPr>
              <w:t>结果</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67" w:leftChars="-33" w:right="-105" w:rightChars="-50" w:hanging="2" w:hangingChars="1"/>
              <w:jc w:val="center"/>
              <w:rPr>
                <w:rFonts w:ascii="Times New Roman" w:hAnsi="Times New Roman" w:eastAsia="黑体" w:cs="Times New Roman"/>
              </w:rPr>
            </w:pPr>
            <w:r>
              <w:rPr>
                <w:rFonts w:ascii="Times New Roman" w:hAnsi="Times New Roman" w:eastAsia="黑体" w:cs="Times New Roman"/>
                <w:kern w:val="0"/>
                <w:sz w:val="20"/>
                <w:szCs w:val="20"/>
              </w:rPr>
              <w:t>尚未审结</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Times New Roman" w:hAnsi="Times New Roman" w:eastAsia="黑体" w:cs="Times New Roman"/>
              </w:rPr>
            </w:pPr>
            <w:r>
              <w:rPr>
                <w:rFonts w:ascii="Times New Roman" w:hAnsi="Times New Roman" w:eastAsia="黑体" w:cs="Times New Roman"/>
                <w:kern w:val="0"/>
                <w:sz w:val="20"/>
                <w:szCs w:val="20"/>
              </w:rPr>
              <w:t>总计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0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58"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spacing w:after="180"/>
              <w:jc w:val="center"/>
              <w:rPr>
                <w:rFonts w:ascii="Times New Roman" w:hAnsi="Times New Roman" w:cs="Times New Roman"/>
              </w:rPr>
            </w:pPr>
            <w:r>
              <w:rPr>
                <w:rFonts w:ascii="Times New Roman" w:hAnsi="Times New Roman" w:cs="Times New Roman"/>
              </w:rPr>
              <w:t>0</w:t>
            </w:r>
          </w:p>
        </w:tc>
      </w:tr>
    </w:tbl>
    <w:p>
      <w:pPr>
        <w:pStyle w:val="4"/>
        <w:widowControl/>
        <w:spacing w:beforeAutospacing="0" w:afterAutospacing="0" w:line="600" w:lineRule="exact"/>
        <w:rPr>
          <w:rFonts w:ascii="Times New Roman" w:hAnsi="Times New Roman"/>
        </w:rPr>
      </w:pPr>
      <w:r>
        <w:rPr>
          <w:rFonts w:ascii="Times New Roman" w:hAnsi="Times New Roman" w:eastAsia="黑体"/>
          <w:sz w:val="31"/>
          <w:szCs w:val="31"/>
        </w:rPr>
        <w:t>    五、存在的主要问题及改进情况</w:t>
      </w:r>
    </w:p>
    <w:p>
      <w:pPr>
        <w:pStyle w:val="4"/>
        <w:widowControl/>
        <w:shd w:val="clear" w:color="auto" w:fill="FFFFFF"/>
        <w:spacing w:beforeAutospacing="0" w:afterAutospacing="0" w:line="600" w:lineRule="exact"/>
        <w:ind w:firstLine="640" w:firstLineChars="200"/>
        <w:rPr>
          <w:rFonts w:ascii="Times New Roman" w:hAnsi="Times New Roman" w:eastAsia="楷体_GB2312"/>
          <w:color w:val="000000"/>
          <w:sz w:val="32"/>
          <w:szCs w:val="32"/>
          <w:shd w:val="clear" w:color="auto" w:fill="FFFFFF"/>
        </w:rPr>
      </w:pPr>
      <w:r>
        <w:rPr>
          <w:rFonts w:ascii="Times New Roman" w:hAnsi="Times New Roman" w:eastAsia="楷体_GB2312"/>
          <w:color w:val="000000"/>
          <w:sz w:val="32"/>
          <w:szCs w:val="32"/>
          <w:shd w:val="clear" w:color="auto" w:fill="FFFFFF"/>
        </w:rPr>
        <w:t>（一）存在的问题</w:t>
      </w:r>
    </w:p>
    <w:p>
      <w:pPr>
        <w:pStyle w:val="4"/>
        <w:widowControl/>
        <w:shd w:val="clear" w:color="auto" w:fill="FFFFFF"/>
        <w:spacing w:beforeAutospacing="0" w:afterAutospacing="0" w:line="600" w:lineRule="exact"/>
        <w:ind w:firstLine="640" w:firstLineChars="200"/>
        <w:rPr>
          <w:rFonts w:ascii="Times New Roman" w:hAnsi="Times New Roman" w:eastAsia="仿宋_GB2312"/>
          <w:color w:val="000000"/>
          <w:sz w:val="32"/>
          <w:szCs w:val="32"/>
          <w:shd w:val="clear" w:color="auto" w:fill="FFFFFF"/>
        </w:rPr>
      </w:pPr>
      <w:r>
        <w:rPr>
          <w:rFonts w:ascii="Times New Roman" w:hAnsi="Times New Roman" w:eastAsia="仿宋_GB2312"/>
          <w:color w:val="000000"/>
          <w:sz w:val="32"/>
          <w:szCs w:val="32"/>
          <w:shd w:val="clear" w:color="auto" w:fill="FFFFFF"/>
        </w:rPr>
        <w:t>一是政务公开工作</w:t>
      </w:r>
      <w:r>
        <w:rPr>
          <w:rFonts w:hint="eastAsia" w:ascii="Times New Roman" w:hAnsi="Times New Roman" w:eastAsia="仿宋_GB2312"/>
          <w:color w:val="000000"/>
          <w:sz w:val="32"/>
          <w:szCs w:val="32"/>
          <w:shd w:val="clear" w:color="auto" w:fill="FFFFFF"/>
        </w:rPr>
        <w:t>范围不够全面，由于薛城经济开发区促进工作涉及</w:t>
      </w:r>
      <w:r>
        <w:rPr>
          <w:rFonts w:ascii="Times New Roman" w:hAnsi="Times New Roman" w:eastAsia="仿宋_GB2312"/>
          <w:color w:val="000000"/>
          <w:sz w:val="32"/>
          <w:szCs w:val="32"/>
          <w:shd w:val="clear" w:color="auto" w:fill="FFFFFF"/>
        </w:rPr>
        <w:t>工作</w:t>
      </w:r>
      <w:r>
        <w:rPr>
          <w:rFonts w:hint="eastAsia" w:ascii="Times New Roman" w:hAnsi="Times New Roman" w:eastAsia="仿宋_GB2312"/>
          <w:color w:val="000000"/>
          <w:sz w:val="32"/>
          <w:szCs w:val="32"/>
          <w:shd w:val="clear" w:color="auto" w:fill="FFFFFF"/>
        </w:rPr>
        <w:t>面</w:t>
      </w:r>
      <w:r>
        <w:rPr>
          <w:rFonts w:ascii="Times New Roman" w:hAnsi="Times New Roman" w:eastAsia="仿宋_GB2312"/>
          <w:color w:val="000000"/>
          <w:sz w:val="32"/>
          <w:szCs w:val="32"/>
          <w:shd w:val="clear" w:color="auto" w:fill="FFFFFF"/>
        </w:rPr>
        <w:t>广，</w:t>
      </w:r>
      <w:r>
        <w:rPr>
          <w:rFonts w:hint="eastAsia" w:ascii="Times New Roman" w:hAnsi="Times New Roman" w:eastAsia="仿宋_GB2312"/>
          <w:color w:val="000000"/>
          <w:sz w:val="32"/>
          <w:szCs w:val="32"/>
          <w:shd w:val="clear" w:color="auto" w:fill="FFFFFF"/>
        </w:rPr>
        <w:t>有时候存在注重业务工作开展，忽视总结宣传</w:t>
      </w:r>
      <w:r>
        <w:rPr>
          <w:rFonts w:ascii="Times New Roman" w:hAnsi="Times New Roman" w:eastAsia="仿宋_GB2312"/>
          <w:color w:val="000000"/>
          <w:sz w:val="32"/>
          <w:szCs w:val="32"/>
          <w:shd w:val="clear" w:color="auto" w:fill="FFFFFF"/>
        </w:rPr>
        <w:t>，</w:t>
      </w:r>
      <w:r>
        <w:rPr>
          <w:rFonts w:hint="eastAsia" w:ascii="Times New Roman" w:hAnsi="Times New Roman" w:eastAsia="仿宋_GB2312"/>
          <w:color w:val="000000"/>
          <w:sz w:val="32"/>
          <w:szCs w:val="32"/>
          <w:shd w:val="clear" w:color="auto" w:fill="FFFFFF"/>
        </w:rPr>
        <w:t>没能让更多群众了解到开发区工作</w:t>
      </w:r>
      <w:r>
        <w:rPr>
          <w:rFonts w:ascii="Times New Roman" w:hAnsi="Times New Roman" w:eastAsia="仿宋_GB2312"/>
          <w:color w:val="000000"/>
          <w:sz w:val="32"/>
          <w:szCs w:val="32"/>
          <w:shd w:val="clear" w:color="auto" w:fill="FFFFFF"/>
        </w:rPr>
        <w:t>。</w:t>
      </w:r>
    </w:p>
    <w:p>
      <w:pPr>
        <w:pStyle w:val="4"/>
        <w:widowControl/>
        <w:shd w:val="clear" w:color="auto" w:fill="FFFFFF"/>
        <w:spacing w:beforeAutospacing="0" w:afterAutospacing="0" w:line="600" w:lineRule="exact"/>
        <w:ind w:firstLine="640" w:firstLineChars="200"/>
        <w:rPr>
          <w:rFonts w:ascii="Times New Roman" w:hAnsi="Times New Roman" w:eastAsia="仿宋_GB2312"/>
          <w:color w:val="000000"/>
          <w:sz w:val="32"/>
          <w:szCs w:val="32"/>
          <w:shd w:val="clear" w:color="auto" w:fill="FFFFFF"/>
        </w:rPr>
      </w:pPr>
      <w:r>
        <w:rPr>
          <w:rFonts w:ascii="Times New Roman" w:hAnsi="Times New Roman" w:eastAsia="仿宋_GB2312"/>
          <w:color w:val="000000"/>
          <w:sz w:val="32"/>
          <w:szCs w:val="32"/>
          <w:shd w:val="clear" w:color="auto" w:fill="FFFFFF"/>
        </w:rPr>
        <w:t>二是政务公开栏目信息发布</w:t>
      </w:r>
      <w:r>
        <w:rPr>
          <w:rFonts w:hint="eastAsia" w:ascii="Times New Roman" w:hAnsi="Times New Roman" w:eastAsia="仿宋_GB2312"/>
          <w:color w:val="000000"/>
          <w:sz w:val="32"/>
          <w:szCs w:val="32"/>
          <w:shd w:val="clear" w:color="auto" w:fill="FFFFFF"/>
        </w:rPr>
        <w:t>较少</w:t>
      </w:r>
      <w:r>
        <w:rPr>
          <w:rFonts w:ascii="Times New Roman" w:hAnsi="Times New Roman" w:eastAsia="仿宋_GB2312"/>
          <w:color w:val="000000"/>
          <w:sz w:val="32"/>
          <w:szCs w:val="32"/>
          <w:shd w:val="clear" w:color="auto" w:fill="FFFFFF"/>
        </w:rPr>
        <w:t>。目前，</w:t>
      </w:r>
      <w:r>
        <w:rPr>
          <w:rFonts w:hint="eastAsia" w:ascii="Times New Roman" w:hAnsi="Times New Roman" w:eastAsia="仿宋_GB2312"/>
          <w:color w:val="000000"/>
          <w:sz w:val="32"/>
          <w:szCs w:val="32"/>
          <w:shd w:val="clear" w:color="auto" w:fill="FFFFFF"/>
        </w:rPr>
        <w:t>我单位在政务公开栏目发布的开发区信息不多，全年累计</w:t>
      </w:r>
      <w:r>
        <w:rPr>
          <w:rFonts w:hint="eastAsia" w:ascii="Times New Roman" w:hAnsi="Times New Roman" w:eastAsia="仿宋_GB2312"/>
          <w:color w:val="000000"/>
          <w:sz w:val="32"/>
          <w:szCs w:val="32"/>
          <w:u w:val="none"/>
          <w:shd w:val="clear" w:color="auto" w:fill="FFFFFF"/>
          <w:lang w:val="en-US" w:eastAsia="zh-CN"/>
        </w:rPr>
        <w:t>23</w:t>
      </w:r>
      <w:r>
        <w:rPr>
          <w:rFonts w:hint="eastAsia" w:ascii="Times New Roman" w:hAnsi="Times New Roman" w:eastAsia="仿宋_GB2312"/>
          <w:color w:val="000000"/>
          <w:sz w:val="32"/>
          <w:szCs w:val="32"/>
          <w:shd w:val="clear" w:color="auto" w:fill="FFFFFF"/>
        </w:rPr>
        <w:t>条。</w:t>
      </w:r>
    </w:p>
    <w:p>
      <w:pPr>
        <w:pStyle w:val="4"/>
        <w:widowControl/>
        <w:shd w:val="clear" w:color="auto" w:fill="FFFFFF"/>
        <w:spacing w:beforeAutospacing="0" w:afterAutospacing="0" w:line="600" w:lineRule="exact"/>
        <w:rPr>
          <w:rFonts w:ascii="Times New Roman" w:hAnsi="Times New Roman"/>
        </w:rPr>
      </w:pPr>
      <w:r>
        <w:rPr>
          <w:rFonts w:ascii="Times New Roman" w:hAnsi="Times New Roman" w:eastAsia="楷体_GB2312"/>
          <w:color w:val="555555"/>
          <w:sz w:val="31"/>
          <w:szCs w:val="31"/>
          <w:shd w:val="clear" w:color="auto" w:fill="FFFFFF"/>
        </w:rPr>
        <w:t>   </w:t>
      </w:r>
      <w:r>
        <w:rPr>
          <w:rFonts w:ascii="Times New Roman" w:hAnsi="Times New Roman" w:eastAsia="楷体_GB2312"/>
          <w:color w:val="000000"/>
          <w:sz w:val="32"/>
          <w:szCs w:val="32"/>
          <w:shd w:val="clear" w:color="auto" w:fill="FFFFFF"/>
        </w:rPr>
        <w:t>（二）改进情况</w:t>
      </w:r>
    </w:p>
    <w:p>
      <w:pPr>
        <w:pStyle w:val="4"/>
        <w:widowControl/>
        <w:shd w:val="clear" w:color="auto" w:fill="FFFFFF"/>
        <w:spacing w:beforeAutospacing="0" w:afterAutospacing="0" w:line="600" w:lineRule="exact"/>
        <w:rPr>
          <w:rFonts w:ascii="Times New Roman" w:hAnsi="Times New Roman" w:eastAsia="仿宋_GB2312"/>
          <w:color w:val="000000"/>
          <w:sz w:val="32"/>
          <w:szCs w:val="32"/>
          <w:shd w:val="clear" w:color="auto" w:fill="FFFFFF"/>
        </w:rPr>
      </w:pPr>
      <w:r>
        <w:rPr>
          <w:rFonts w:ascii="Times New Roman" w:hAnsi="Times New Roman" w:eastAsia="仿宋_GB2312"/>
          <w:color w:val="555555"/>
          <w:sz w:val="31"/>
          <w:szCs w:val="31"/>
          <w:shd w:val="clear" w:color="auto" w:fill="FFFFFF"/>
        </w:rPr>
        <w:t>  </w:t>
      </w:r>
      <w:r>
        <w:rPr>
          <w:rFonts w:ascii="Times New Roman" w:hAnsi="Times New Roman" w:eastAsia="仿宋_GB2312"/>
          <w:color w:val="000000"/>
          <w:sz w:val="32"/>
          <w:szCs w:val="32"/>
          <w:shd w:val="clear" w:color="auto" w:fill="FFFFFF"/>
        </w:rPr>
        <w:t>  一是</w:t>
      </w:r>
      <w:r>
        <w:rPr>
          <w:rFonts w:hint="eastAsia" w:ascii="Times New Roman" w:hAnsi="Times New Roman" w:eastAsia="仿宋_GB2312"/>
          <w:color w:val="000000"/>
          <w:sz w:val="32"/>
          <w:szCs w:val="32"/>
          <w:shd w:val="clear" w:color="auto" w:fill="FFFFFF"/>
        </w:rPr>
        <w:t>提升政务公开人员能力水平。制定培训计划，</w:t>
      </w:r>
      <w:r>
        <w:rPr>
          <w:rFonts w:ascii="Times New Roman" w:hAnsi="Times New Roman" w:eastAsia="仿宋_GB2312"/>
          <w:color w:val="000000"/>
          <w:sz w:val="32"/>
          <w:szCs w:val="32"/>
          <w:shd w:val="clear" w:color="auto" w:fill="FFFFFF"/>
        </w:rPr>
        <w:t>积极组织人员参加各级相关培训，提高人员的专业</w:t>
      </w:r>
      <w:r>
        <w:rPr>
          <w:rFonts w:hint="eastAsia" w:ascii="Times New Roman" w:hAnsi="Times New Roman" w:eastAsia="仿宋_GB2312"/>
          <w:color w:val="000000"/>
          <w:sz w:val="32"/>
          <w:szCs w:val="32"/>
          <w:shd w:val="clear" w:color="auto" w:fill="FFFFFF"/>
        </w:rPr>
        <w:t>能力</w:t>
      </w:r>
      <w:r>
        <w:rPr>
          <w:rFonts w:ascii="Times New Roman" w:hAnsi="Times New Roman" w:eastAsia="仿宋_GB2312"/>
          <w:color w:val="000000"/>
          <w:sz w:val="32"/>
          <w:szCs w:val="32"/>
          <w:shd w:val="clear" w:color="auto" w:fill="FFFFFF"/>
        </w:rPr>
        <w:t>水平</w:t>
      </w:r>
      <w:r>
        <w:rPr>
          <w:rFonts w:hint="eastAsia" w:ascii="Times New Roman" w:hAnsi="Times New Roman" w:eastAsia="仿宋_GB2312"/>
          <w:color w:val="000000"/>
          <w:sz w:val="32"/>
          <w:szCs w:val="32"/>
          <w:shd w:val="clear" w:color="auto" w:fill="FFFFFF"/>
        </w:rPr>
        <w:t>。</w:t>
      </w:r>
    </w:p>
    <w:p>
      <w:pPr>
        <w:pStyle w:val="4"/>
        <w:widowControl/>
        <w:shd w:val="clear" w:color="auto" w:fill="FFFFFF"/>
        <w:spacing w:beforeAutospacing="0" w:afterAutospacing="0" w:line="600" w:lineRule="exact"/>
        <w:ind w:firstLine="640" w:firstLineChars="200"/>
        <w:rPr>
          <w:rFonts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rPr>
        <w:t>二是</w:t>
      </w:r>
      <w:r>
        <w:rPr>
          <w:rFonts w:ascii="Times New Roman" w:hAnsi="Times New Roman" w:eastAsia="仿宋_GB2312"/>
          <w:color w:val="000000"/>
          <w:sz w:val="32"/>
          <w:szCs w:val="32"/>
          <w:shd w:val="clear" w:color="auto" w:fill="FFFFFF"/>
        </w:rPr>
        <w:t>明确工作职责，加大工作力度</w:t>
      </w:r>
      <w:r>
        <w:rPr>
          <w:rFonts w:hint="eastAsia" w:ascii="Times New Roman" w:hAnsi="Times New Roman" w:eastAsia="仿宋_GB2312"/>
          <w:color w:val="000000"/>
          <w:sz w:val="32"/>
          <w:szCs w:val="32"/>
          <w:shd w:val="clear" w:color="auto" w:fill="FFFFFF"/>
        </w:rPr>
        <w:t>。加强开发区机关业务科室人员培训管理，督促业务科室人员加强日常信息报送，进一步</w:t>
      </w:r>
      <w:r>
        <w:rPr>
          <w:rFonts w:ascii="Times New Roman" w:hAnsi="Times New Roman" w:eastAsia="仿宋_GB2312"/>
          <w:color w:val="000000"/>
          <w:sz w:val="32"/>
          <w:szCs w:val="32"/>
          <w:shd w:val="clear" w:color="auto" w:fill="FFFFFF"/>
        </w:rPr>
        <w:t>扩大</w:t>
      </w:r>
      <w:r>
        <w:rPr>
          <w:rFonts w:hint="eastAsia" w:ascii="Times New Roman" w:hAnsi="Times New Roman" w:eastAsia="仿宋_GB2312"/>
          <w:color w:val="000000"/>
          <w:sz w:val="32"/>
          <w:szCs w:val="32"/>
          <w:shd w:val="clear" w:color="auto" w:fill="FFFFFF"/>
        </w:rPr>
        <w:t>开发区</w:t>
      </w:r>
      <w:r>
        <w:rPr>
          <w:rFonts w:ascii="Times New Roman" w:hAnsi="Times New Roman" w:eastAsia="仿宋_GB2312"/>
          <w:color w:val="000000"/>
          <w:sz w:val="32"/>
          <w:szCs w:val="32"/>
          <w:shd w:val="clear" w:color="auto" w:fill="FFFFFF"/>
        </w:rPr>
        <w:t>信息公开</w:t>
      </w:r>
      <w:r>
        <w:rPr>
          <w:rFonts w:hint="eastAsia" w:ascii="Times New Roman" w:hAnsi="Times New Roman" w:eastAsia="仿宋_GB2312"/>
          <w:color w:val="000000"/>
          <w:sz w:val="32"/>
          <w:szCs w:val="32"/>
          <w:shd w:val="clear" w:color="auto" w:fill="FFFFFF"/>
        </w:rPr>
        <w:t>总</w:t>
      </w:r>
      <w:r>
        <w:rPr>
          <w:rFonts w:ascii="Times New Roman" w:hAnsi="Times New Roman" w:eastAsia="仿宋_GB2312"/>
          <w:color w:val="000000"/>
          <w:sz w:val="32"/>
          <w:szCs w:val="32"/>
          <w:shd w:val="clear" w:color="auto" w:fill="FFFFFF"/>
        </w:rPr>
        <w:t>量</w:t>
      </w:r>
      <w:r>
        <w:rPr>
          <w:rFonts w:hint="eastAsia" w:ascii="Times New Roman" w:hAnsi="Times New Roman" w:eastAsia="仿宋_GB2312"/>
          <w:color w:val="000000"/>
          <w:sz w:val="32"/>
          <w:szCs w:val="32"/>
          <w:shd w:val="clear" w:color="auto" w:fill="FFFFFF"/>
        </w:rPr>
        <w:t>。</w:t>
      </w:r>
    </w:p>
    <w:p>
      <w:pPr>
        <w:pStyle w:val="4"/>
        <w:widowControl/>
        <w:spacing w:beforeAutospacing="0" w:afterAutospacing="0" w:line="600" w:lineRule="exact"/>
        <w:rPr>
          <w:rFonts w:hint="eastAsia" w:ascii="Times New Roman" w:hAnsi="Times New Roman" w:eastAsia="仿宋_GB2312"/>
          <w:color w:val="000000"/>
          <w:sz w:val="32"/>
          <w:szCs w:val="32"/>
          <w:shd w:val="clear" w:color="auto" w:fill="FFFFFF"/>
        </w:rPr>
      </w:pPr>
      <w:r>
        <w:rPr>
          <w:rFonts w:ascii="Times New Roman" w:hAnsi="Times New Roman" w:eastAsia="黑体"/>
          <w:sz w:val="31"/>
          <w:szCs w:val="31"/>
        </w:rPr>
        <w:t>    六、其他需要报告的事项</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rPr>
        <w:t>1.收取信息处理费情况方面。本年度政府信息公开申请未达到《政府信息公开信息处理费管理办法》（国办函〔2020〕109号）所规定的信息处理费收费标准，故未收取信息处理费。</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rPr>
        <w:t>2.落实上级年度政务公开工作要点情况。对照市</w:t>
      </w:r>
      <w:r>
        <w:rPr>
          <w:rFonts w:hint="eastAsia" w:ascii="Times New Roman" w:hAnsi="Times New Roman" w:eastAsia="仿宋_GB2312"/>
          <w:color w:val="000000"/>
          <w:sz w:val="32"/>
          <w:szCs w:val="32"/>
          <w:shd w:val="clear" w:color="auto" w:fill="FFFFFF"/>
          <w:lang w:val="en-US" w:eastAsia="zh-CN"/>
        </w:rPr>
        <w:t>区</w:t>
      </w:r>
      <w:r>
        <w:rPr>
          <w:rFonts w:hint="eastAsia" w:ascii="Times New Roman" w:hAnsi="Times New Roman" w:eastAsia="仿宋_GB2312"/>
          <w:color w:val="000000"/>
          <w:sz w:val="32"/>
          <w:szCs w:val="32"/>
          <w:shd w:val="clear" w:color="auto" w:fill="FFFFFF"/>
        </w:rPr>
        <w:t>2022年政务公开政务公开工作要点，围绕重点领域信息公开、政策发布解读与回应</w:t>
      </w:r>
      <w:r>
        <w:rPr>
          <w:rFonts w:hint="eastAsia" w:ascii="Times New Roman" w:hAnsi="Times New Roman" w:eastAsia="仿宋_GB2312"/>
          <w:color w:val="000000"/>
          <w:sz w:val="32"/>
          <w:szCs w:val="32"/>
          <w:shd w:val="clear" w:color="auto" w:fill="FFFFFF"/>
          <w:lang w:val="en-US" w:eastAsia="zh-CN"/>
        </w:rPr>
        <w:t>等</w:t>
      </w:r>
      <w:r>
        <w:rPr>
          <w:rFonts w:hint="eastAsia" w:ascii="Times New Roman" w:hAnsi="Times New Roman" w:eastAsia="仿宋_GB2312"/>
          <w:color w:val="000000"/>
          <w:sz w:val="32"/>
          <w:szCs w:val="32"/>
          <w:shd w:val="clear" w:color="auto" w:fill="FFFFFF"/>
        </w:rPr>
        <w:t>逐项明确责任主体和完成时限</w:t>
      </w:r>
    </w:p>
    <w:p>
      <w:pPr>
        <w:keepNext w:val="0"/>
        <w:keepLines w:val="0"/>
        <w:widowControl/>
        <w:suppressLineNumbers w:val="0"/>
        <w:ind w:firstLine="640" w:firstLineChars="200"/>
        <w:jc w:val="left"/>
      </w:pPr>
      <w:r>
        <w:rPr>
          <w:rFonts w:hint="eastAsia" w:ascii="Times New Roman" w:hAnsi="Times New Roman" w:eastAsia="仿宋_GB2312"/>
          <w:color w:val="000000"/>
          <w:sz w:val="32"/>
          <w:szCs w:val="32"/>
          <w:shd w:val="clear" w:color="auto" w:fill="FFFFFF"/>
        </w:rPr>
        <w:t>3.人大代表建议和政协提案办理情况方面。</w:t>
      </w:r>
      <w:r>
        <w:rPr>
          <w:rFonts w:hint="eastAsia" w:ascii="Times New Roman" w:hAnsi="Times New Roman" w:eastAsia="仿宋_GB2312" w:cs="Times New Roman"/>
          <w:color w:val="000000"/>
          <w:kern w:val="0"/>
          <w:sz w:val="32"/>
          <w:szCs w:val="32"/>
          <w:shd w:val="clear" w:color="auto" w:fill="FFFFFF"/>
          <w:lang w:val="en-US" w:eastAsia="zh-CN" w:bidi="ar-SA"/>
        </w:rPr>
        <w:t>2022年开发区共办理人大代表建议、政协提案办理事项共2件。开发区高度重视重视人大代表建议、政协提案办理工作，严格落实关于建议提案办理的有关要求，答复做到了合法合规合理合情，建议及提案回复率、满意度均为100%，办理结果已在政府信息公开网站进行了公开。</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lang w:val="en-US" w:eastAsia="zh-CN"/>
        </w:rPr>
        <w:t>4</w:t>
      </w:r>
      <w:r>
        <w:rPr>
          <w:rFonts w:hint="eastAsia" w:ascii="Times New Roman" w:hAnsi="Times New Roman" w:eastAsia="仿宋_GB2312"/>
          <w:color w:val="000000"/>
          <w:sz w:val="32"/>
          <w:szCs w:val="32"/>
          <w:shd w:val="clear" w:color="auto" w:fill="FFFFFF"/>
        </w:rPr>
        <w:t>.本单位政府信息公开工作年度报告数据统计需要说明的事项：无</w:t>
      </w:r>
    </w:p>
    <w:p>
      <w:pPr>
        <w:pStyle w:val="4"/>
        <w:widowControl/>
        <w:shd w:val="clear" w:color="auto" w:fill="FFFFFF"/>
        <w:spacing w:beforeAutospacing="0" w:afterAutospacing="0" w:line="600" w:lineRule="exact"/>
        <w:ind w:firstLine="640" w:firstLineChars="200"/>
        <w:rPr>
          <w:rFonts w:hint="eastAsia"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lang w:val="en-US" w:eastAsia="zh-CN"/>
        </w:rPr>
        <w:t>5</w:t>
      </w:r>
      <w:r>
        <w:rPr>
          <w:rFonts w:hint="eastAsia" w:ascii="Times New Roman" w:hAnsi="Times New Roman" w:eastAsia="仿宋_GB2312"/>
          <w:color w:val="000000"/>
          <w:sz w:val="32"/>
          <w:szCs w:val="32"/>
          <w:shd w:val="clear" w:color="auto" w:fill="FFFFFF"/>
        </w:rPr>
        <w:t>.其他有关文件专门要求通过政府信息公开工作年度报告予以报告的事项：无</w:t>
      </w:r>
    </w:p>
    <w:p>
      <w:pPr>
        <w:pStyle w:val="4"/>
        <w:widowControl/>
        <w:shd w:val="clear" w:color="auto" w:fill="FFFFFF"/>
        <w:spacing w:beforeAutospacing="0" w:afterAutospacing="0" w:line="600" w:lineRule="exact"/>
        <w:ind w:firstLine="640" w:firstLineChars="200"/>
        <w:jc w:val="both"/>
        <w:rPr>
          <w:rFonts w:hint="eastAsia"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lang w:val="en-US" w:eastAsia="zh-CN"/>
        </w:rPr>
        <w:t>6</w:t>
      </w:r>
      <w:r>
        <w:rPr>
          <w:rFonts w:hint="eastAsia" w:ascii="Times New Roman" w:hAnsi="Times New Roman" w:eastAsia="仿宋_GB2312"/>
          <w:color w:val="000000"/>
          <w:sz w:val="32"/>
          <w:szCs w:val="32"/>
          <w:shd w:val="clear" w:color="auto" w:fill="FFFFFF"/>
        </w:rPr>
        <w:t>.本年度报告的电子版可以在“薛城区政府门户网站”下载</w:t>
      </w:r>
      <w:r>
        <w:rPr>
          <w:rFonts w:hint="eastAsia" w:ascii="Times New Roman" w:hAnsi="Times New Roman" w:eastAsia="仿宋_GB2312"/>
          <w:color w:val="000000"/>
          <w:sz w:val="32"/>
          <w:szCs w:val="32"/>
          <w:shd w:val="clear" w:color="auto" w:fill="FFFFFF"/>
          <w:lang w:eastAsia="zh-CN"/>
        </w:rPr>
        <w:t>。</w:t>
      </w:r>
      <w:r>
        <w:rPr>
          <w:rFonts w:hint="eastAsia" w:ascii="Times New Roman" w:hAnsi="Times New Roman" w:eastAsia="仿宋_GB2312"/>
          <w:color w:val="000000"/>
          <w:sz w:val="32"/>
          <w:szCs w:val="32"/>
          <w:shd w:val="clear" w:color="auto" w:fill="FFFFFF"/>
        </w:rPr>
        <w:t>如对本报告有疑问，可与薛城经济开发区管理委员会联系(地址:枣庄市</w:t>
      </w:r>
      <w:r>
        <w:rPr>
          <w:rFonts w:hint="eastAsia" w:ascii="Times New Roman" w:hAnsi="Times New Roman" w:eastAsia="仿宋_GB2312"/>
          <w:spacing w:val="-3"/>
          <w:sz w:val="32"/>
          <w:szCs w:val="32"/>
        </w:rPr>
        <w:t>薛城区仲建大厦A410室</w:t>
      </w:r>
      <w:r>
        <w:rPr>
          <w:rFonts w:hint="eastAsia" w:ascii="Times New Roman" w:hAnsi="Times New Roman" w:eastAsia="仿宋_GB2312"/>
          <w:color w:val="000000"/>
          <w:sz w:val="32"/>
          <w:szCs w:val="32"/>
          <w:shd w:val="clear" w:color="auto" w:fill="FFFFFF"/>
        </w:rPr>
        <w:t>，邮编：277000 ，电话：</w:t>
      </w:r>
      <w:r>
        <w:rPr>
          <w:rFonts w:ascii="Times New Roman" w:hAnsi="Times New Roman" w:eastAsia="仿宋_GB2312"/>
          <w:spacing w:val="-3"/>
          <w:sz w:val="32"/>
          <w:szCs w:val="32"/>
        </w:rPr>
        <w:t>0632—44</w:t>
      </w:r>
      <w:r>
        <w:rPr>
          <w:rFonts w:hint="eastAsia" w:ascii="Times New Roman" w:hAnsi="Times New Roman" w:eastAsia="仿宋_GB2312"/>
          <w:spacing w:val="-3"/>
          <w:sz w:val="32"/>
          <w:szCs w:val="32"/>
        </w:rPr>
        <w:t>02565</w:t>
      </w:r>
      <w:r>
        <w:rPr>
          <w:rFonts w:ascii="Times New Roman" w:hAnsi="Times New Roman" w:eastAsia="仿宋_GB2312"/>
          <w:spacing w:val="-3"/>
          <w:sz w:val="32"/>
          <w:szCs w:val="32"/>
        </w:rPr>
        <w:t>，电子邮箱：</w:t>
      </w:r>
      <w:r>
        <w:rPr>
          <w:rFonts w:hint="eastAsia" w:ascii="Times New Roman" w:hAnsi="Times New Roman" w:eastAsia="仿宋_GB2312"/>
          <w:spacing w:val="-3"/>
          <w:sz w:val="32"/>
          <w:szCs w:val="32"/>
        </w:rPr>
        <w:t>kfqzxs</w:t>
      </w:r>
      <w:r>
        <w:rPr>
          <w:rFonts w:ascii="Times New Roman" w:hAnsi="Times New Roman" w:eastAsia="仿宋_GB2312"/>
          <w:spacing w:val="-3"/>
          <w:sz w:val="32"/>
          <w:szCs w:val="32"/>
        </w:rPr>
        <w:t>@zz.shandong.cn</w:t>
      </w:r>
      <w:r>
        <w:rPr>
          <w:rFonts w:hint="eastAsia" w:ascii="Times New Roman" w:hAnsi="Times New Roman" w:eastAsia="仿宋_GB2312"/>
          <w:color w:val="000000"/>
          <w:sz w:val="32"/>
          <w:szCs w:val="32"/>
          <w:shd w:val="clear" w:color="auto" w:fill="FFFFFF"/>
        </w:rPr>
        <w:t>)。</w:t>
      </w:r>
    </w:p>
    <w:p>
      <w:pPr>
        <w:pStyle w:val="4"/>
        <w:widowControl/>
        <w:shd w:val="clear" w:color="auto" w:fill="FFFFFF"/>
        <w:spacing w:beforeAutospacing="0" w:afterAutospacing="0" w:line="600" w:lineRule="exact"/>
        <w:rPr>
          <w:rFonts w:ascii="Times New Roman" w:hAnsi="Times New Roman" w:eastAsia="仿宋_GB2312"/>
          <w:color w:val="000000"/>
          <w:sz w:val="32"/>
          <w:szCs w:val="32"/>
          <w:shd w:val="clear" w:color="auto" w:fill="FFFFFF"/>
        </w:rPr>
      </w:pPr>
    </w:p>
    <w:p>
      <w:pPr>
        <w:pStyle w:val="4"/>
        <w:widowControl/>
        <w:shd w:val="clear" w:color="auto" w:fill="FFFFFF"/>
        <w:spacing w:beforeAutospacing="0" w:afterAutospacing="0" w:line="600" w:lineRule="exact"/>
        <w:jc w:val="right"/>
        <w:rPr>
          <w:rFonts w:hint="eastAsia" w:ascii="Times New Roman" w:hAnsi="Times New Roman" w:eastAsia="仿宋_GB2312"/>
          <w:color w:val="000000"/>
          <w:sz w:val="32"/>
          <w:szCs w:val="32"/>
          <w:shd w:val="clear" w:color="auto" w:fill="FFFFFF"/>
        </w:rPr>
      </w:pPr>
      <w:r>
        <w:rPr>
          <w:rFonts w:ascii="Times New Roman" w:hAnsi="Times New Roman" w:eastAsia="仿宋_GB2312"/>
          <w:spacing w:val="-3"/>
          <w:sz w:val="32"/>
          <w:szCs w:val="32"/>
        </w:rPr>
        <w:t xml:space="preserve"> </w:t>
      </w:r>
    </w:p>
    <w:p>
      <w:pPr>
        <w:pStyle w:val="4"/>
        <w:widowControl/>
        <w:shd w:val="clear" w:color="auto" w:fill="FFFFFF"/>
        <w:spacing w:beforeAutospacing="0" w:afterAutospacing="0" w:line="600" w:lineRule="exact"/>
        <w:jc w:val="right"/>
        <w:rPr>
          <w:rFonts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rPr>
        <w:t>薛城经济开发区管理委员会</w:t>
      </w:r>
    </w:p>
    <w:p>
      <w:pPr>
        <w:pStyle w:val="4"/>
        <w:widowControl/>
        <w:shd w:val="clear" w:color="auto" w:fill="FFFFFF"/>
        <w:spacing w:beforeAutospacing="0" w:afterAutospacing="0" w:line="600" w:lineRule="exact"/>
        <w:jc w:val="center"/>
        <w:rPr>
          <w:rFonts w:ascii="Times New Roman" w:hAnsi="Times New Roman" w:eastAsia="仿宋_GB2312"/>
          <w:color w:val="000000"/>
          <w:sz w:val="32"/>
          <w:szCs w:val="32"/>
          <w:shd w:val="clear" w:color="auto" w:fill="FFFFFF"/>
        </w:rPr>
      </w:pPr>
      <w:r>
        <w:rPr>
          <w:rFonts w:hint="eastAsia" w:ascii="Times New Roman" w:hAnsi="Times New Roman" w:eastAsia="仿宋_GB2312"/>
          <w:color w:val="000000"/>
          <w:sz w:val="32"/>
          <w:szCs w:val="32"/>
          <w:shd w:val="clear" w:color="auto" w:fill="FFFFFF"/>
          <w:lang w:val="en-US" w:eastAsia="zh-CN"/>
        </w:rPr>
        <w:t xml:space="preserve">                             </w:t>
      </w:r>
      <w:r>
        <w:rPr>
          <w:rFonts w:hint="eastAsia" w:ascii="Times New Roman" w:hAnsi="Times New Roman" w:eastAsia="仿宋_GB2312"/>
          <w:color w:val="000000"/>
          <w:sz w:val="32"/>
          <w:szCs w:val="32"/>
          <w:shd w:val="clear" w:color="auto" w:fill="FFFFFF"/>
        </w:rPr>
        <w:t>202</w:t>
      </w:r>
      <w:r>
        <w:rPr>
          <w:rFonts w:hint="eastAsia" w:ascii="Times New Roman" w:hAnsi="Times New Roman" w:eastAsia="仿宋_GB2312"/>
          <w:color w:val="000000"/>
          <w:sz w:val="32"/>
          <w:szCs w:val="32"/>
          <w:shd w:val="clear" w:color="auto" w:fill="FFFFFF"/>
          <w:lang w:val="en-US" w:eastAsia="zh-CN"/>
        </w:rPr>
        <w:t>3</w:t>
      </w:r>
      <w:r>
        <w:rPr>
          <w:rFonts w:hint="eastAsia" w:ascii="Times New Roman" w:hAnsi="Times New Roman" w:eastAsia="仿宋_GB2312"/>
          <w:color w:val="000000"/>
          <w:sz w:val="32"/>
          <w:szCs w:val="32"/>
          <w:shd w:val="clear" w:color="auto" w:fill="FFFFFF"/>
        </w:rPr>
        <w:t>年</w:t>
      </w:r>
      <w:r>
        <w:rPr>
          <w:rFonts w:hint="eastAsia" w:ascii="Times New Roman" w:hAnsi="Times New Roman" w:eastAsia="仿宋_GB2312"/>
          <w:color w:val="000000"/>
          <w:sz w:val="32"/>
          <w:szCs w:val="32"/>
          <w:shd w:val="clear" w:color="auto" w:fill="FFFFFF"/>
          <w:lang w:val="en-US" w:eastAsia="zh-CN"/>
        </w:rPr>
        <w:t>1</w:t>
      </w:r>
      <w:r>
        <w:rPr>
          <w:rFonts w:hint="eastAsia" w:ascii="Times New Roman" w:hAnsi="Times New Roman" w:eastAsia="仿宋_GB2312"/>
          <w:color w:val="000000"/>
          <w:sz w:val="32"/>
          <w:szCs w:val="32"/>
          <w:shd w:val="clear" w:color="auto" w:fill="FFFFFF"/>
        </w:rPr>
        <w:t>月</w:t>
      </w:r>
      <w:r>
        <w:rPr>
          <w:rFonts w:hint="eastAsia" w:ascii="Times New Roman" w:hAnsi="Times New Roman" w:eastAsia="仿宋_GB2312"/>
          <w:color w:val="000000"/>
          <w:sz w:val="32"/>
          <w:szCs w:val="32"/>
          <w:shd w:val="clear" w:color="auto" w:fill="FFFFFF"/>
          <w:lang w:val="en-US" w:eastAsia="zh-CN"/>
        </w:rPr>
        <w:t>1</w:t>
      </w:r>
      <w:bookmarkStart w:id="10" w:name="_GoBack"/>
      <w:bookmarkEnd w:id="10"/>
      <w:r>
        <w:rPr>
          <w:rFonts w:hint="eastAsia" w:ascii="Times New Roman" w:hAnsi="Times New Roman" w:eastAsia="仿宋_GB2312"/>
          <w:color w:val="000000"/>
          <w:sz w:val="32"/>
          <w:szCs w:val="32"/>
          <w:shd w:val="clear" w:color="auto" w:fill="FFFFFF"/>
          <w:lang w:val="en-US" w:eastAsia="zh-CN"/>
        </w:rPr>
        <w:t>6</w:t>
      </w:r>
      <w:r>
        <w:rPr>
          <w:rFonts w:hint="eastAsia" w:ascii="Times New Roman" w:hAnsi="Times New Roman" w:eastAsia="仿宋_GB2312"/>
          <w:color w:val="000000"/>
          <w:sz w:val="32"/>
          <w:szCs w:val="32"/>
          <w:shd w:val="clear" w:color="auto" w:fill="FFFFFF"/>
        </w:rPr>
        <w:t>日</w:t>
      </w:r>
    </w:p>
    <w:sectPr>
      <w:footerReference r:id="rId3" w:type="default"/>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sans-serif">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c0NTk2NzEzZTI1MGRlYWI5ZDNlNmVkOWJkZjM3YjAifQ=="/>
  </w:docVars>
  <w:rsids>
    <w:rsidRoot w:val="000905BB"/>
    <w:rsid w:val="00050E41"/>
    <w:rsid w:val="000543B4"/>
    <w:rsid w:val="000905BB"/>
    <w:rsid w:val="002C3AC6"/>
    <w:rsid w:val="0033546B"/>
    <w:rsid w:val="008C4011"/>
    <w:rsid w:val="00957DD9"/>
    <w:rsid w:val="00AC15A7"/>
    <w:rsid w:val="00E7724C"/>
    <w:rsid w:val="00F635D2"/>
    <w:rsid w:val="018D06CD"/>
    <w:rsid w:val="028A71FF"/>
    <w:rsid w:val="02DD1A2B"/>
    <w:rsid w:val="03E042DD"/>
    <w:rsid w:val="04BC5D9C"/>
    <w:rsid w:val="05763949"/>
    <w:rsid w:val="06944362"/>
    <w:rsid w:val="06B13870"/>
    <w:rsid w:val="077A3CEC"/>
    <w:rsid w:val="092B34F0"/>
    <w:rsid w:val="0B3643CE"/>
    <w:rsid w:val="0C120997"/>
    <w:rsid w:val="0C2E15AA"/>
    <w:rsid w:val="0D3861DB"/>
    <w:rsid w:val="1218482D"/>
    <w:rsid w:val="13033D4F"/>
    <w:rsid w:val="153E45AB"/>
    <w:rsid w:val="158F0047"/>
    <w:rsid w:val="15D66ED9"/>
    <w:rsid w:val="16F70AA3"/>
    <w:rsid w:val="17BD5C5B"/>
    <w:rsid w:val="18F953B8"/>
    <w:rsid w:val="18FF4D4D"/>
    <w:rsid w:val="1B9413C8"/>
    <w:rsid w:val="1D3556E8"/>
    <w:rsid w:val="1D812A56"/>
    <w:rsid w:val="1E796654"/>
    <w:rsid w:val="1FC009DE"/>
    <w:rsid w:val="204A1CC6"/>
    <w:rsid w:val="21F67F20"/>
    <w:rsid w:val="239922E2"/>
    <w:rsid w:val="240E4F9F"/>
    <w:rsid w:val="27FD02F5"/>
    <w:rsid w:val="28834881"/>
    <w:rsid w:val="29852351"/>
    <w:rsid w:val="2CEF2903"/>
    <w:rsid w:val="2D6F57F1"/>
    <w:rsid w:val="2D880661"/>
    <w:rsid w:val="2E441B4D"/>
    <w:rsid w:val="2E8D146B"/>
    <w:rsid w:val="2EB52AB4"/>
    <w:rsid w:val="305A4537"/>
    <w:rsid w:val="31434164"/>
    <w:rsid w:val="329F574C"/>
    <w:rsid w:val="335536D1"/>
    <w:rsid w:val="34C04815"/>
    <w:rsid w:val="355E6877"/>
    <w:rsid w:val="35E36D7D"/>
    <w:rsid w:val="38877E93"/>
    <w:rsid w:val="39E709D3"/>
    <w:rsid w:val="39EE7A9E"/>
    <w:rsid w:val="3AB94E96"/>
    <w:rsid w:val="3B163750"/>
    <w:rsid w:val="3B742767"/>
    <w:rsid w:val="3C683B38"/>
    <w:rsid w:val="3D385C00"/>
    <w:rsid w:val="3DCB19FA"/>
    <w:rsid w:val="3E927592"/>
    <w:rsid w:val="40E340D5"/>
    <w:rsid w:val="421B7E09"/>
    <w:rsid w:val="438751EB"/>
    <w:rsid w:val="43B14016"/>
    <w:rsid w:val="43E443EC"/>
    <w:rsid w:val="448B0D0B"/>
    <w:rsid w:val="4AAA3A0B"/>
    <w:rsid w:val="4B476CC5"/>
    <w:rsid w:val="4B6127C6"/>
    <w:rsid w:val="4C3752D5"/>
    <w:rsid w:val="4E8D48FE"/>
    <w:rsid w:val="51136310"/>
    <w:rsid w:val="51D16D49"/>
    <w:rsid w:val="52B23907"/>
    <w:rsid w:val="539A54BB"/>
    <w:rsid w:val="544665BE"/>
    <w:rsid w:val="562D1D2A"/>
    <w:rsid w:val="57792C45"/>
    <w:rsid w:val="582D7720"/>
    <w:rsid w:val="59D877FB"/>
    <w:rsid w:val="5A393DF4"/>
    <w:rsid w:val="5D6677C8"/>
    <w:rsid w:val="5F26593E"/>
    <w:rsid w:val="600B4656"/>
    <w:rsid w:val="60EC2723"/>
    <w:rsid w:val="621316B2"/>
    <w:rsid w:val="636115F5"/>
    <w:rsid w:val="68CF0917"/>
    <w:rsid w:val="68D979E8"/>
    <w:rsid w:val="69641CF8"/>
    <w:rsid w:val="6B9A23B8"/>
    <w:rsid w:val="6CAB4B27"/>
    <w:rsid w:val="6D4318E2"/>
    <w:rsid w:val="6DC9002B"/>
    <w:rsid w:val="6E020C56"/>
    <w:rsid w:val="6FD827A7"/>
    <w:rsid w:val="712D789E"/>
    <w:rsid w:val="71FD73B0"/>
    <w:rsid w:val="720C2BDC"/>
    <w:rsid w:val="75E35A02"/>
    <w:rsid w:val="762C55FB"/>
    <w:rsid w:val="77BC650A"/>
    <w:rsid w:val="783469E8"/>
    <w:rsid w:val="79554FB7"/>
    <w:rsid w:val="7EBB5C32"/>
    <w:rsid w:val="7F2C666B"/>
    <w:rsid w:val="7F979CF3"/>
    <w:rsid w:val="BFD7FB6F"/>
    <w:rsid w:val="DDDDDC27"/>
    <w:rsid w:val="EDB7AB2F"/>
    <w:rsid w:val="EFFA096D"/>
    <w:rsid w:val="FD3571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spacing w:beforeAutospacing="1" w:afterAutospacing="1"/>
      <w:jc w:val="left"/>
    </w:pPr>
    <w:rPr>
      <w:rFonts w:cs="Times New Roman"/>
      <w:kern w:val="0"/>
      <w:sz w:val="24"/>
    </w:rPr>
  </w:style>
  <w:style w:type="character" w:styleId="7">
    <w:name w:val="Strong"/>
    <w:basedOn w:val="6"/>
    <w:qFormat/>
    <w:uiPriority w:val="0"/>
    <w:rPr>
      <w:b/>
    </w:rPr>
  </w:style>
  <w:style w:type="character" w:customStyle="1" w:styleId="8">
    <w:name w:val="页眉 Char"/>
    <w:basedOn w:val="6"/>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2360</Words>
  <Characters>2493</Characters>
  <Lines>20</Lines>
  <Paragraphs>5</Paragraphs>
  <TotalTime>3</TotalTime>
  <ScaleCrop>false</ScaleCrop>
  <LinksUpToDate>false</LinksUpToDate>
  <CharactersWithSpaces>2526</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2022-01-18T17:03:00Z</dcterms:created>
  <dc:creator>Administrator</dc:creator>
  <cp:lastModifiedBy>user</cp:lastModifiedBy>
  <dcterms:modified xsi:type="dcterms:W3CDTF">2023-02-09T14:44:33Z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6B14FF4C44864DABAF03071136BF740E</vt:lpwstr>
  </property>
</Properties>
</file>