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en-US" w:eastAsia="zh-CN"/>
        </w:rPr>
        <w:t>薛城区民政局2023年</w:t>
      </w:r>
      <w:r>
        <w:rPr>
          <w:rFonts w:hint="eastAsia" w:ascii="方正小标宋简体" w:hAnsi="宋体" w:eastAsia="方正小标宋简体" w:cs="宋体"/>
          <w:color w:val="000000"/>
          <w:kern w:val="0"/>
          <w:sz w:val="44"/>
          <w:szCs w:val="44"/>
        </w:rPr>
        <w:t>政府信息公开工作</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年度报告</w:t>
      </w:r>
    </w:p>
    <w:p>
      <w:pPr>
        <w:keepNext w:val="0"/>
        <w:keepLines w:val="0"/>
        <w:pageBreakBefore w:val="0"/>
        <w:widowControl/>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根据《中华人民共和国政府信息公开条例》（国务院令第711号，以下简称《条例》）和《国务院办公厅政府信息与政务公开办公室关于印发＜中华人民共和国政府信息公开工作年度报告格式＞的通知》（国办公开办函〔2021〕30号）要求，现就推进政府信息公开工作情况，向社会公布薛城区民政局2023年政府信息公开工作年度报告。本报告包括总体情况、主动公开政府信息情况、收到和处理政府信息公开申请情况、政府信息公开行政复议、行政诉讼情况、存在的主要问题及改进情况、其他需要报告的事项等六个部分。本年度报告中所列数据的统计期限自2023年1月1日起至2023年12月31日止。本年度报告的电子版可以在“薛城区政府门户网站”（http://www.xuecheng.gov.cn/zwgk/xxgknb/2023xxgknb/）下载。如对本报告有疑问，可与薛城区民政局联系（地址：薛城区广场西路与湘江路交叉口南100米仲建大厦13楼，邮政编码：277000；电话（传真）：0632—4412441；电子邮箱：mzj4412441@zz.shandong.cn）。</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一、总体情况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薛城区民政局2023年政府信息公开工作坚持以习近平新时代中国特色社会主义思想和党的二十大精神为指导，按照“公开为原则，不公开为例外”的要求，认真贯彻落实《中华人民共和国政府信息公开条例》，全面推进政务信息公开，及时主动向社会公众公布民政动态、民政法规政策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(一）主动公开情况。</w:t>
      </w:r>
      <w:r>
        <w:rPr>
          <w:rFonts w:hint="eastAsia" w:ascii="仿宋_GB2312" w:hAnsi="仿宋_GB2312" w:eastAsia="仿宋_GB2312" w:cs="仿宋_GB2312"/>
          <w:sz w:val="32"/>
          <w:lang w:val="en-US" w:eastAsia="zh-CN"/>
        </w:rPr>
        <w:t>我局2023年主动公开政府信息总</w:t>
      </w:r>
      <w:r>
        <w:rPr>
          <w:rFonts w:hint="eastAsia" w:ascii="仿宋_GB2312" w:hAnsi="仿宋_GB2312" w:eastAsia="仿宋_GB2312" w:cs="仿宋_GB2312"/>
          <w:sz w:val="32"/>
          <w:highlight w:val="none"/>
          <w:lang w:val="en-US" w:eastAsia="zh-CN"/>
        </w:rPr>
        <w:t>计162条，主</w:t>
      </w:r>
      <w:r>
        <w:rPr>
          <w:rFonts w:hint="eastAsia" w:ascii="仿宋_GB2312" w:hAnsi="仿宋_GB2312" w:eastAsia="仿宋_GB2312" w:cs="仿宋_GB2312"/>
          <w:sz w:val="32"/>
          <w:lang w:val="en-US" w:eastAsia="zh-CN"/>
        </w:rPr>
        <w:t>要包括重点领域信息公开、会议公开、政策文件公开、重要部署执行公开、政策解读与回应关切、政务公开保障机制等。</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（二）依申请公开情况。</w:t>
      </w:r>
      <w:r>
        <w:rPr>
          <w:rFonts w:hint="eastAsia" w:ascii="仿宋_GB2312" w:hAnsi="仿宋_GB2312" w:eastAsia="仿宋_GB2312" w:cs="仿宋_GB2312"/>
          <w:sz w:val="32"/>
          <w:lang w:val="en-US" w:eastAsia="zh-CN"/>
        </w:rPr>
        <w:t>2023年度共收到政府信息公开申请1件，按时办结1件，按时办结率100%。全年未发生因政府信息公开被行政复议、提起行政诉讼情况。</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（三）政府信息管理情况。</w:t>
      </w:r>
      <w:r>
        <w:rPr>
          <w:rFonts w:hint="eastAsia" w:ascii="仿宋_GB2312" w:hAnsi="仿宋_GB2312" w:eastAsia="仿宋_GB2312" w:cs="仿宋_GB2312"/>
          <w:sz w:val="32"/>
          <w:lang w:val="en-US" w:eastAsia="zh-CN"/>
        </w:rPr>
        <w:t>优化各股室、局属各单位分工协作的信息管理体系，并根据实际情况动态调整。严格遵守政府信息公开发布保密审查制度，负责同志及相关科室人员对公开信息进行初审，由相关领导审查后进行发布，严格保护当事人隐私。</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（四）政府信息公开平台建设情况。</w:t>
      </w:r>
      <w:r>
        <w:rPr>
          <w:rFonts w:hint="eastAsia" w:ascii="仿宋_GB2312" w:hAnsi="仿宋_GB2312" w:eastAsia="仿宋_GB2312" w:cs="仿宋_GB2312"/>
          <w:sz w:val="32"/>
          <w:lang w:val="en-US" w:eastAsia="zh-CN"/>
        </w:rPr>
        <w:t>我局政务公开信息主要通过区政府门户网站发布。2023年度，我局严格按照区政府集约化智能门户平台板块及栏目设置和相关要求公开各项政务信息，确保应有公开栏目不漏项，信息报送保质保量。</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（五）监督保障情况。</w:t>
      </w:r>
      <w:r>
        <w:rPr>
          <w:rFonts w:hint="eastAsia" w:ascii="仿宋_GB2312" w:hAnsi="仿宋_GB2312" w:eastAsia="仿宋_GB2312" w:cs="仿宋_GB2312"/>
          <w:sz w:val="32"/>
          <w:lang w:val="en-US" w:eastAsia="zh-CN"/>
        </w:rPr>
        <w:t>根据人员变动及时调整局政务公开工作领导小组，强化组织领导，明确责任分工。定期组织负责人员参加政务公开业务培训，强化保密意识，提升业务水平。主动接受区政务公开办及网信办等部门对我局政务信息公开情况的监督，对照监督检测出的问题及时认真做好整改工作。</w:t>
      </w:r>
    </w:p>
    <w:p>
      <w:pPr>
        <w:keepNext w:val="0"/>
        <w:keepLines w:val="0"/>
        <w:pageBreakBefore w:val="0"/>
        <w:widowControl/>
        <w:kinsoku/>
        <w:wordWrap/>
        <w:overflowPunct/>
        <w:topLinePunct w:val="0"/>
        <w:autoSpaceDE/>
        <w:autoSpaceDN/>
        <w:bidi w:val="0"/>
        <w:adjustRightInd/>
        <w:snapToGrid/>
        <w:spacing w:after="313" w:afterLines="100"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hint="eastAsia" w:ascii="黑体" w:hAnsi="黑体" w:eastAsia="黑体" w:cs="宋体"/>
          <w:color w:val="000000"/>
          <w:kern w:val="0"/>
          <w:sz w:val="32"/>
          <w:szCs w:val="32"/>
          <w:lang w:val="en-US" w:eastAsia="zh-CN"/>
        </w:rPr>
        <w:t>行政机关</w:t>
      </w:r>
      <w:r>
        <w:rPr>
          <w:rFonts w:hint="eastAsia" w:ascii="黑体" w:hAnsi="黑体" w:eastAsia="黑体" w:cs="宋体"/>
          <w:color w:val="000000"/>
          <w:kern w:val="0"/>
          <w:sz w:val="32"/>
          <w:szCs w:val="32"/>
        </w:rPr>
        <w:t>主动公开政府信息情况</w:t>
      </w:r>
    </w:p>
    <w:tbl>
      <w:tblPr>
        <w:tblStyle w:val="5"/>
        <w:tblW w:w="8860" w:type="dxa"/>
        <w:tblInd w:w="0" w:type="dxa"/>
        <w:tblLayout w:type="fixed"/>
        <w:tblCellMar>
          <w:top w:w="0" w:type="dxa"/>
          <w:left w:w="108" w:type="dxa"/>
          <w:bottom w:w="0" w:type="dxa"/>
          <w:right w:w="108" w:type="dxa"/>
        </w:tblCellMar>
      </w:tblPr>
      <w:tblGrid>
        <w:gridCol w:w="2215"/>
        <w:gridCol w:w="2215"/>
        <w:gridCol w:w="2215"/>
        <w:gridCol w:w="2215"/>
      </w:tblGrid>
      <w:tr>
        <w:tblPrEx>
          <w:tblCellMar>
            <w:top w:w="0" w:type="dxa"/>
            <w:left w:w="108" w:type="dxa"/>
            <w:bottom w:w="0" w:type="dxa"/>
            <w:right w:w="108" w:type="dxa"/>
          </w:tblCellMar>
        </w:tblPrEx>
        <w:trPr>
          <w:trHeight w:val="601"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黑体" w:hAnsi="黑体" w:eastAsia="黑体" w:cs="宋体"/>
                <w:color w:val="000000"/>
                <w:kern w:val="0"/>
                <w:szCs w:val="21"/>
              </w:rPr>
            </w:pPr>
            <w:bookmarkStart w:id="0" w:name="_GoBack"/>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601" w:hRule="atLeast"/>
        </w:trPr>
        <w:tc>
          <w:tcPr>
            <w:tcW w:w="221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601" w:hRule="atLeast"/>
        </w:trPr>
        <w:tc>
          <w:tcPr>
            <w:tcW w:w="221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601" w:hRule="atLeast"/>
        </w:trPr>
        <w:tc>
          <w:tcPr>
            <w:tcW w:w="221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1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601"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601" w:hRule="atLeast"/>
        </w:trPr>
        <w:tc>
          <w:tcPr>
            <w:tcW w:w="221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4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601" w:hRule="atLeast"/>
        </w:trPr>
        <w:tc>
          <w:tcPr>
            <w:tcW w:w="221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4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601"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601" w:hRule="atLeast"/>
        </w:trPr>
        <w:tc>
          <w:tcPr>
            <w:tcW w:w="221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4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601" w:hRule="atLeast"/>
        </w:trPr>
        <w:tc>
          <w:tcPr>
            <w:tcW w:w="221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4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601" w:hRule="atLeast"/>
        </w:trPr>
        <w:tc>
          <w:tcPr>
            <w:tcW w:w="221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4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601"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601" w:hRule="atLeast"/>
        </w:trPr>
        <w:tc>
          <w:tcPr>
            <w:tcW w:w="221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4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621" w:hRule="atLeast"/>
        </w:trPr>
        <w:tc>
          <w:tcPr>
            <w:tcW w:w="221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45"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bookmarkEnd w:id="0"/>
    </w:tbl>
    <w:p>
      <w:pPr>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eastAsia" w:ascii="黑体" w:hAnsi="黑体" w:eastAsia="黑体"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after="469" w:afterLines="150"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highlight w:val="none"/>
              </w:rPr>
            </w:pPr>
            <w:r>
              <w:rPr>
                <w:rFonts w:hint="eastAsia" w:ascii="楷体" w:hAnsi="楷体" w:eastAsia="楷体" w:cs="宋体"/>
                <w:kern w:val="0"/>
                <w:sz w:val="20"/>
                <w:szCs w:val="20"/>
                <w:highlight w:val="none"/>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highlight w:val="yellow"/>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highlight w:val="none"/>
              </w:rPr>
            </w:pPr>
            <w:r>
              <w:rPr>
                <w:rFonts w:hint="eastAsia" w:ascii="楷体" w:hAnsi="楷体" w:eastAsia="楷体" w:cs="宋体"/>
                <w:kern w:val="0"/>
                <w:sz w:val="20"/>
                <w:szCs w:val="20"/>
                <w:highlight w:val="none"/>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highlight w:val="none"/>
              </w:rPr>
            </w:pPr>
            <w:r>
              <w:rPr>
                <w:rFonts w:hint="eastAsia" w:ascii="楷体" w:hAnsi="楷体" w:eastAsia="楷体" w:cs="宋体"/>
                <w:kern w:val="0"/>
                <w:sz w:val="20"/>
                <w:szCs w:val="20"/>
                <w:highlight w:val="none"/>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1</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1</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Theme="minorHAnsi" w:eastAsiaTheme="minorEastAsia" w:cstheme="minorBidi"/>
                <w:kern w:val="2"/>
                <w:sz w:val="24"/>
                <w:szCs w:val="22"/>
                <w:lang w:val="en-US" w:eastAsia="zh-CN" w:bidi="ar-SA"/>
              </w:rPr>
            </w:pPr>
            <w:r>
              <w:rPr>
                <w:rFonts w:hint="eastAsia"/>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hint="eastAsia" w:ascii="黑体" w:hAnsi="黑体" w:eastAsia="黑体" w:cs="宋体"/>
          <w:color w:val="000000"/>
          <w:kern w:val="0"/>
          <w:sz w:val="32"/>
          <w:szCs w:val="32"/>
          <w:lang w:val="en-US" w:eastAsia="zh-CN"/>
        </w:rPr>
        <w:t>因</w:t>
      </w:r>
      <w:r>
        <w:rPr>
          <w:rFonts w:hint="eastAsia" w:ascii="黑体" w:hAnsi="黑体" w:eastAsia="黑体" w:cs="宋体"/>
          <w:color w:val="000000"/>
          <w:kern w:val="0"/>
          <w:sz w:val="32"/>
          <w:szCs w:val="32"/>
        </w:rPr>
        <w:t>政府信息公开</w:t>
      </w:r>
      <w:r>
        <w:rPr>
          <w:rFonts w:hint="eastAsia" w:ascii="黑体" w:hAnsi="黑体" w:eastAsia="黑体" w:cs="宋体"/>
          <w:color w:val="000000"/>
          <w:kern w:val="0"/>
          <w:sz w:val="32"/>
          <w:szCs w:val="32"/>
          <w:lang w:val="en-US" w:eastAsia="zh-CN"/>
        </w:rPr>
        <w:t>工作被申请</w:t>
      </w:r>
      <w:r>
        <w:rPr>
          <w:rFonts w:hint="eastAsia" w:ascii="黑体" w:hAnsi="黑体" w:eastAsia="黑体" w:cs="宋体"/>
          <w:color w:val="000000"/>
          <w:kern w:val="0"/>
          <w:sz w:val="32"/>
          <w:szCs w:val="32"/>
        </w:rPr>
        <w:t>行政复议、</w:t>
      </w:r>
      <w:r>
        <w:rPr>
          <w:rFonts w:hint="eastAsia" w:ascii="黑体" w:hAnsi="黑体" w:eastAsia="黑体" w:cs="宋体"/>
          <w:color w:val="000000"/>
          <w:kern w:val="0"/>
          <w:sz w:val="32"/>
          <w:szCs w:val="32"/>
          <w:lang w:val="en-US" w:eastAsia="zh-CN"/>
        </w:rPr>
        <w:t>提起</w:t>
      </w:r>
      <w:r>
        <w:rPr>
          <w:rFonts w:hint="eastAsia" w:ascii="黑体" w:hAnsi="黑体" w:eastAsia="黑体" w:cs="宋体"/>
          <w:color w:val="000000"/>
          <w:kern w:val="0"/>
          <w:sz w:val="32"/>
          <w:szCs w:val="32"/>
        </w:rPr>
        <w:t>行政诉讼情况</w:t>
      </w:r>
    </w:p>
    <w:tbl>
      <w:tblPr>
        <w:tblStyle w:val="5"/>
        <w:tblW w:w="10399" w:type="dxa"/>
        <w:jc w:val="center"/>
        <w:tblLayout w:type="autofit"/>
        <w:tblCellMar>
          <w:top w:w="0" w:type="dxa"/>
          <w:left w:w="0" w:type="dxa"/>
          <w:bottom w:w="0" w:type="dxa"/>
          <w:right w:w="0" w:type="dxa"/>
        </w:tblCellMar>
      </w:tblPr>
      <w:tblGrid>
        <w:gridCol w:w="692"/>
        <w:gridCol w:w="692"/>
        <w:gridCol w:w="692"/>
        <w:gridCol w:w="692"/>
        <w:gridCol w:w="698"/>
        <w:gridCol w:w="692"/>
        <w:gridCol w:w="692"/>
        <w:gridCol w:w="692"/>
        <w:gridCol w:w="692"/>
        <w:gridCol w:w="698"/>
        <w:gridCol w:w="692"/>
        <w:gridCol w:w="692"/>
        <w:gridCol w:w="692"/>
        <w:gridCol w:w="692"/>
        <w:gridCol w:w="699"/>
      </w:tblGrid>
      <w:tr>
        <w:tblPrEx>
          <w:tblCellMar>
            <w:top w:w="0" w:type="dxa"/>
            <w:left w:w="0" w:type="dxa"/>
            <w:bottom w:w="0" w:type="dxa"/>
            <w:right w:w="0" w:type="dxa"/>
          </w:tblCellMar>
        </w:tblPrEx>
        <w:trPr>
          <w:trHeight w:val="541" w:hRule="atLeast"/>
          <w:jc w:val="center"/>
        </w:trPr>
        <w:tc>
          <w:tcPr>
            <w:tcW w:w="346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933"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541" w:hRule="atLeast"/>
          <w:jc w:val="center"/>
        </w:trPr>
        <w:tc>
          <w:tcPr>
            <w:tcW w:w="69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9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9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9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总计</w:t>
            </w:r>
          </w:p>
        </w:tc>
        <w:tc>
          <w:tcPr>
            <w:tcW w:w="3466"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46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trHeight w:val="98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宋体"/>
                <w:kern w:val="0"/>
                <w:sz w:val="24"/>
                <w:szCs w:val="24"/>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768" w:hRule="atLeast"/>
          <w:jc w:val="center"/>
        </w:trPr>
        <w:tc>
          <w:tcPr>
            <w:tcW w:w="69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ind w:firstLine="0" w:firstLineChars="0"/>
              <w:jc w:val="center"/>
              <w:textAlignment w:val="auto"/>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Theme="minorHAnsi" w:eastAsiaTheme="minorEastAsia" w:cstheme="minorBidi"/>
                <w:kern w:val="2"/>
                <w:sz w:val="24"/>
                <w:szCs w:val="22"/>
                <w:lang w:val="en-US" w:eastAsia="zh-CN" w:bidi="ar-SA"/>
              </w:rPr>
            </w:pPr>
            <w:r>
              <w:rPr>
                <w:rFonts w:hint="eastAsia"/>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400" w:firstLineChars="200"/>
        <w:jc w:val="left"/>
        <w:textAlignment w:val="auto"/>
        <w:rPr>
          <w:rFonts w:ascii="宋体" w:hAnsi="宋体" w:eastAsia="宋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五、政府信息公开工作存在的主要问题及改进情况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我局信息公开工作虽取得一定成绩，得到了有关部门和群众的一致好评，但仍存在不足，主要体现在</w:t>
      </w:r>
      <w:r>
        <w:rPr>
          <w:rFonts w:hint="eastAsia" w:ascii="仿宋_GB2312" w:hAnsi="仿宋_GB2312" w:eastAsia="仿宋_GB2312" w:cs="仿宋_GB2312"/>
          <w:sz w:val="32"/>
          <w:lang w:val="en-US" w:eastAsia="zh-CN"/>
        </w:rPr>
        <w:t>信息公开及时性需进一步加强</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流程规范性需进一步完善</w:t>
      </w:r>
      <w:r>
        <w:rPr>
          <w:rFonts w:hint="eastAsia" w:ascii="仿宋_GB2312" w:hAnsi="仿宋_GB2312" w:eastAsia="仿宋_GB2312" w:cs="仿宋_GB2312"/>
          <w:sz w:val="32"/>
          <w:lang w:eastAsia="zh-CN"/>
        </w:rPr>
        <w:t>等。</w:t>
      </w:r>
      <w:r>
        <w:rPr>
          <w:rFonts w:hint="eastAsia" w:ascii="仿宋_GB2312" w:hAnsi="仿宋_GB2312" w:eastAsia="仿宋_GB2312" w:cs="仿宋_GB2312"/>
          <w:sz w:val="32"/>
          <w:lang w:val="en-US" w:eastAsia="zh-CN"/>
        </w:rPr>
        <w:t>之后我局将进一步</w:t>
      </w:r>
      <w:r>
        <w:rPr>
          <w:rFonts w:hint="eastAsia" w:ascii="仿宋_GB2312" w:hAnsi="仿宋_GB2312" w:eastAsia="仿宋_GB2312" w:cs="仿宋_GB2312"/>
          <w:sz w:val="32"/>
          <w:lang w:eastAsia="zh-CN"/>
        </w:rPr>
        <w:t>加强工作，提高政府信息公开水平：一是提升</w:t>
      </w:r>
      <w:r>
        <w:rPr>
          <w:rFonts w:hint="eastAsia" w:ascii="仿宋_GB2312" w:hAnsi="仿宋_GB2312" w:eastAsia="仿宋_GB2312" w:cs="仿宋_GB2312"/>
          <w:sz w:val="32"/>
          <w:lang w:val="en-US" w:eastAsia="zh-CN"/>
        </w:rPr>
        <w:t>重视程度</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加大主动公开工作力度，</w:t>
      </w:r>
      <w:r>
        <w:rPr>
          <w:rFonts w:hint="eastAsia" w:ascii="仿宋_GB2312" w:hAnsi="仿宋_GB2312" w:eastAsia="仿宋_GB2312" w:cs="仿宋_GB2312"/>
          <w:sz w:val="32"/>
          <w:lang w:eastAsia="zh-CN"/>
        </w:rPr>
        <w:t>规范工作流程</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按照“公开为原则，不公开为例外”的总体要求，及时提供，定期维护，确保政府信息公开</w:t>
      </w:r>
      <w:r>
        <w:rPr>
          <w:rFonts w:hint="eastAsia" w:ascii="仿宋_GB2312" w:hAnsi="仿宋_GB2312" w:eastAsia="仿宋_GB2312" w:cs="仿宋_GB2312"/>
          <w:sz w:val="32"/>
          <w:lang w:val="en-US" w:eastAsia="zh-CN"/>
        </w:rPr>
        <w:t>及时准确</w:t>
      </w:r>
      <w:r>
        <w:rPr>
          <w:rFonts w:hint="eastAsia" w:ascii="仿宋_GB2312" w:hAnsi="仿宋_GB2312" w:eastAsia="仿宋_GB2312" w:cs="仿宋_GB2312"/>
          <w:sz w:val="32"/>
          <w:lang w:eastAsia="zh-CN"/>
        </w:rPr>
        <w:t>，方便公众查询。二是</w:t>
      </w:r>
      <w:r>
        <w:rPr>
          <w:rFonts w:hint="eastAsia" w:ascii="仿宋_GB2312" w:hAnsi="仿宋_GB2312" w:eastAsia="仿宋_GB2312" w:cs="仿宋_GB2312"/>
          <w:sz w:val="32"/>
          <w:lang w:val="en-US" w:eastAsia="zh-CN"/>
        </w:rPr>
        <w:t>逐步扩大公开范围，加大审核力度。</w:t>
      </w:r>
      <w:r>
        <w:rPr>
          <w:rFonts w:hint="eastAsia" w:ascii="仿宋_GB2312" w:hAnsi="仿宋_GB2312" w:eastAsia="仿宋_GB2312" w:cs="仿宋_GB2312"/>
          <w:sz w:val="32"/>
          <w:lang w:eastAsia="zh-CN"/>
        </w:rPr>
        <w:t>我局将进一步梳理相关信息，对原有政府信息公开目录进行补充完善，努力确保公开信息的完整性、准确性。</w:t>
      </w:r>
      <w:r>
        <w:rPr>
          <w:rFonts w:hint="eastAsia" w:ascii="仿宋_GB2312" w:hAnsi="仿宋_GB2312" w:eastAsia="仿宋_GB2312" w:cs="仿宋_GB2312"/>
          <w:sz w:val="32"/>
          <w:lang w:val="en-US" w:eastAsia="zh-CN"/>
        </w:rPr>
        <w:t>同时加强审核，确保信息公示内容有三名以上工作人员审核，尤其在资金发放等内容方面做好涉及人员隐私保护。</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（一）收取信息处理费情况方面。</w:t>
      </w:r>
      <w:r>
        <w:rPr>
          <w:rFonts w:hint="eastAsia" w:ascii="仿宋_GB2312" w:hAnsi="仿宋_GB2312" w:eastAsia="仿宋_GB2312" w:cs="仿宋_GB2312"/>
          <w:sz w:val="32"/>
          <w:lang w:val="en-US" w:eastAsia="zh-CN"/>
        </w:rPr>
        <w:t>本年度政府信息公开申请未达到《政府信息公开信息处理费管理办法》（国办函〔2020〕109号）所规定的信息处理费收费标准，故未收取信息处理费。</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（二）落实上级年度政务公开工作要点情况。</w:t>
      </w:r>
      <w:r>
        <w:rPr>
          <w:rFonts w:hint="eastAsia" w:ascii="仿宋_GB2312" w:hAnsi="仿宋_GB2312" w:eastAsia="仿宋_GB2312" w:cs="仿宋_GB2312"/>
          <w:sz w:val="32"/>
          <w:lang w:val="en-US" w:eastAsia="zh-CN"/>
        </w:rPr>
        <w:t>对照《薛城区2023年政务公开工作要点》，围绕重点领域信息公开、政策发布解读与回应、政民互动、基层政务公开标准化规范化建设和工作保障和落实逐项明确责任主体和完成时限。</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楷体_GB2312" w:eastAsia="楷体_GB2312"/>
          <w:spacing w:val="0"/>
          <w:kern w:val="0"/>
          <w:sz w:val="32"/>
          <w:szCs w:val="32"/>
          <w:shd w:val="clear" w:color="auto" w:fill="FFFFFF"/>
        </w:rPr>
      </w:pPr>
      <w:r>
        <w:rPr>
          <w:rFonts w:hint="eastAsia" w:ascii="楷体_GB2312" w:hAnsi="楷体_GB2312" w:eastAsia="楷体_GB2312" w:cs="楷体_GB2312"/>
          <w:b/>
          <w:bCs/>
          <w:sz w:val="32"/>
          <w:lang w:val="en-US" w:eastAsia="zh-CN"/>
        </w:rPr>
        <w:t>（三）人大代表建议和政协提案办理情况方面。</w:t>
      </w:r>
      <w:r>
        <w:rPr>
          <w:rFonts w:hint="eastAsia" w:ascii="仿宋_GB2312" w:hAnsi="仿宋_GB2312" w:eastAsia="仿宋_GB2312" w:cs="仿宋_GB2312"/>
          <w:sz w:val="32"/>
          <w:lang w:val="en-US" w:eastAsia="zh-CN"/>
        </w:rPr>
        <w:t>2023年薛城区民政局共承办</w:t>
      </w:r>
      <w:r>
        <w:rPr>
          <w:rFonts w:hint="eastAsia" w:ascii="仿宋_GB2312" w:hAnsi="仿宋_GB2312" w:eastAsia="仿宋_GB2312" w:cs="仿宋_GB2312"/>
          <w:spacing w:val="0"/>
          <w:kern w:val="0"/>
          <w:sz w:val="32"/>
          <w:szCs w:val="32"/>
          <w:highlight w:val="none"/>
          <w:lang w:val="en-US" w:eastAsia="zh-CN"/>
        </w:rPr>
        <w:t>市政协提案1</w:t>
      </w:r>
      <w:r>
        <w:rPr>
          <w:rFonts w:hint="eastAsia" w:ascii="仿宋_GB2312" w:hAnsi="仿宋_GB2312" w:eastAsia="仿宋_GB2312" w:cs="仿宋_GB2312"/>
          <w:spacing w:val="0"/>
          <w:kern w:val="0"/>
          <w:sz w:val="32"/>
          <w:szCs w:val="32"/>
          <w:highlight w:val="none"/>
        </w:rPr>
        <w:t>件，主要涉及</w:t>
      </w:r>
      <w:r>
        <w:rPr>
          <w:rFonts w:hint="eastAsia" w:ascii="仿宋_GB2312" w:hAnsi="仿宋_GB2312" w:eastAsia="仿宋_GB2312" w:cs="仿宋_GB2312"/>
          <w:spacing w:val="0"/>
          <w:kern w:val="0"/>
          <w:sz w:val="32"/>
          <w:szCs w:val="32"/>
          <w:highlight w:val="none"/>
          <w:lang w:val="en-US" w:eastAsia="zh-CN"/>
        </w:rPr>
        <w:t>城市道路地名牌标识</w:t>
      </w:r>
      <w:r>
        <w:rPr>
          <w:rFonts w:hint="eastAsia" w:ascii="仿宋_GB2312" w:hAnsi="仿宋_GB2312" w:eastAsia="仿宋_GB2312" w:cs="仿宋_GB2312"/>
          <w:spacing w:val="0"/>
          <w:kern w:val="0"/>
          <w:sz w:val="32"/>
          <w:szCs w:val="32"/>
          <w:highlight w:val="none"/>
        </w:rPr>
        <w:t>等方面；承办区人大代表建议</w:t>
      </w:r>
      <w:r>
        <w:rPr>
          <w:rFonts w:hint="eastAsia" w:ascii="仿宋_GB2312" w:hAnsi="仿宋_GB2312" w:eastAsia="仿宋_GB2312" w:cs="仿宋_GB2312"/>
          <w:spacing w:val="0"/>
          <w:kern w:val="0"/>
          <w:sz w:val="32"/>
          <w:szCs w:val="32"/>
          <w:highlight w:val="none"/>
          <w:lang w:val="en-US" w:eastAsia="zh-CN"/>
        </w:rPr>
        <w:t>1</w:t>
      </w:r>
      <w:r>
        <w:rPr>
          <w:rFonts w:hint="eastAsia" w:ascii="仿宋_GB2312" w:hAnsi="仿宋_GB2312" w:eastAsia="仿宋_GB2312" w:cs="仿宋_GB2312"/>
          <w:spacing w:val="0"/>
          <w:kern w:val="0"/>
          <w:sz w:val="32"/>
          <w:szCs w:val="32"/>
          <w:highlight w:val="none"/>
        </w:rPr>
        <w:t>件，主要涉及公益性墓地建设等方面；承办区政协提案</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件，主要涉及养老服务、</w:t>
      </w:r>
      <w:r>
        <w:rPr>
          <w:rFonts w:hint="eastAsia" w:ascii="仿宋_GB2312" w:hAnsi="仿宋_GB2312" w:eastAsia="仿宋_GB2312" w:cs="仿宋_GB2312"/>
          <w:spacing w:val="0"/>
          <w:kern w:val="0"/>
          <w:sz w:val="32"/>
          <w:szCs w:val="32"/>
          <w:highlight w:val="none"/>
          <w:lang w:val="en-US" w:eastAsia="zh-CN"/>
        </w:rPr>
        <w:t>社会</w:t>
      </w:r>
      <w:r>
        <w:rPr>
          <w:rFonts w:hint="eastAsia" w:ascii="仿宋_GB2312" w:hAnsi="仿宋_GB2312" w:eastAsia="仿宋_GB2312" w:cs="仿宋_GB2312"/>
          <w:spacing w:val="0"/>
          <w:kern w:val="0"/>
          <w:sz w:val="32"/>
          <w:szCs w:val="32"/>
          <w:highlight w:val="none"/>
        </w:rPr>
        <w:t>救助等方面。所有建议提案均已吸收采纳，并全部办复，办结率100%。</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开展政务公开创新方面。</w:t>
      </w:r>
      <w:r>
        <w:rPr>
          <w:rFonts w:hint="eastAsia" w:ascii="仿宋_GB2312" w:hAnsi="仿宋_GB2312" w:eastAsia="仿宋_GB2312" w:cs="仿宋_GB2312"/>
          <w:sz w:val="32"/>
          <w:lang w:val="en-US" w:eastAsia="zh-CN"/>
        </w:rPr>
        <w:t>薛城区民政局将及时准确落实政务公开要求，并结合实际工作，采取可视化手段公开相关信息，不断更新公开民政政策和动态信息及形式。</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（五）本单位政府信息公开工作年度报告数据统计需要说明的事项</w:t>
      </w:r>
      <w:r>
        <w:rPr>
          <w:rFonts w:hint="eastAsia" w:ascii="仿宋_GB2312" w:hAnsi="仿宋_GB2312" w:eastAsia="仿宋_GB2312" w:cs="仿宋_GB2312"/>
          <w:sz w:val="32"/>
          <w:lang w:val="en-US" w:eastAsia="zh-CN"/>
        </w:rPr>
        <w:t>：无。</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（六）其他有关文件专门要求通过政府信息公开工作年度报告予以报告的事项</w:t>
      </w:r>
      <w:r>
        <w:rPr>
          <w:rFonts w:hint="eastAsia" w:ascii="仿宋_GB2312" w:hAnsi="仿宋_GB2312" w:eastAsia="仿宋_GB2312" w:cs="仿宋_GB2312"/>
          <w:sz w:val="32"/>
          <w:lang w:val="en-US" w:eastAsia="zh-CN"/>
        </w:rPr>
        <w:t>：无。</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lang w:val="en-US" w:eastAsia="zh-CN"/>
        </w:rPr>
      </w:pPr>
      <w:r>
        <w:rPr>
          <w:rFonts w:hint="eastAsia" w:ascii="楷体_GB2312" w:hAnsi="楷体_GB2312" w:eastAsia="楷体_GB2312" w:cs="楷体_GB2312"/>
          <w:b/>
          <w:bCs/>
          <w:sz w:val="32"/>
          <w:lang w:val="en-US" w:eastAsia="zh-CN"/>
        </w:rPr>
        <w:t>（七）</w:t>
      </w:r>
      <w:r>
        <w:rPr>
          <w:rFonts w:hint="eastAsia" w:ascii="仿宋_GB2312" w:hAnsi="仿宋_GB2312" w:eastAsia="仿宋_GB2312" w:cs="仿宋_GB2312"/>
          <w:sz w:val="32"/>
          <w:lang w:val="en-US" w:eastAsia="zh-CN"/>
        </w:rPr>
        <w:t>本年度报告的电子版可以在“薛城区政府门户网站”（</w:t>
      </w:r>
      <w:r>
        <w:rPr>
          <w:rFonts w:ascii="微软雅黑" w:hAnsi="微软雅黑" w:eastAsia="微软雅黑" w:cs="微软雅黑"/>
          <w:i w:val="0"/>
          <w:iCs w:val="0"/>
          <w:caps w:val="0"/>
          <w:color w:val="000000"/>
          <w:spacing w:val="0"/>
          <w:sz w:val="24"/>
          <w:szCs w:val="24"/>
          <w:shd w:val="clear" w:fill="FFFFFF"/>
        </w:rPr>
        <w:t>http://www.xuecheng.gov.cn/zwgk/xxgknb/2023xxgknb/</w:t>
      </w:r>
      <w:r>
        <w:rPr>
          <w:rFonts w:hint="eastAsia" w:ascii="仿宋_GB2312" w:hAnsi="仿宋_GB2312" w:eastAsia="仿宋_GB2312" w:cs="仿宋_GB2312"/>
          <w:sz w:val="32"/>
          <w:lang w:val="en-US" w:eastAsia="zh-CN"/>
        </w:rPr>
        <w:t>)下载。如对本报告有疑问，可与薛城区民政局办公室联系(地址:薛城区湘江路仲建商务广场13楼，邮编：277000，电话：0632—4412441，电子邮箱：mzj4412441@zz.shandong.cn。</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薛城区民政局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2024年1月15日</w:t>
      </w:r>
    </w:p>
    <w:sectPr>
      <w:footerReference r:id="rId3" w:type="default"/>
      <w:pgSz w:w="11906" w:h="16838"/>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ZjYzNDFkNjBhNDhiZjIyOTIwYTcyZmM3NmJhNTcifQ=="/>
  </w:docVars>
  <w:rsids>
    <w:rsidRoot w:val="00000000"/>
    <w:rsid w:val="0030032C"/>
    <w:rsid w:val="03A5447B"/>
    <w:rsid w:val="052279E8"/>
    <w:rsid w:val="056B4FAB"/>
    <w:rsid w:val="05FD5596"/>
    <w:rsid w:val="087370B9"/>
    <w:rsid w:val="09DE2433"/>
    <w:rsid w:val="0DA43D07"/>
    <w:rsid w:val="0E811E04"/>
    <w:rsid w:val="0F3D6BE6"/>
    <w:rsid w:val="107E2A9F"/>
    <w:rsid w:val="11827DD0"/>
    <w:rsid w:val="14755F67"/>
    <w:rsid w:val="14D54448"/>
    <w:rsid w:val="14EF1875"/>
    <w:rsid w:val="15F47393"/>
    <w:rsid w:val="18AB7CD0"/>
    <w:rsid w:val="19C5080C"/>
    <w:rsid w:val="1B016B92"/>
    <w:rsid w:val="1DD26133"/>
    <w:rsid w:val="20053DE8"/>
    <w:rsid w:val="215A276C"/>
    <w:rsid w:val="220055AD"/>
    <w:rsid w:val="2274175F"/>
    <w:rsid w:val="22B660C8"/>
    <w:rsid w:val="238D2173"/>
    <w:rsid w:val="23DC6477"/>
    <w:rsid w:val="24F2482F"/>
    <w:rsid w:val="27702CB8"/>
    <w:rsid w:val="27A91D58"/>
    <w:rsid w:val="28213FE4"/>
    <w:rsid w:val="2A1B45E1"/>
    <w:rsid w:val="2B5D3585"/>
    <w:rsid w:val="2C276B14"/>
    <w:rsid w:val="2CD07D87"/>
    <w:rsid w:val="2CEC37EA"/>
    <w:rsid w:val="2D9F5695"/>
    <w:rsid w:val="2DEF248E"/>
    <w:rsid w:val="2E0F2B31"/>
    <w:rsid w:val="2FB614B6"/>
    <w:rsid w:val="2FC16254"/>
    <w:rsid w:val="302503E9"/>
    <w:rsid w:val="30E9624F"/>
    <w:rsid w:val="31282675"/>
    <w:rsid w:val="31F462C5"/>
    <w:rsid w:val="3469106E"/>
    <w:rsid w:val="34D348B8"/>
    <w:rsid w:val="35DE3C54"/>
    <w:rsid w:val="36D17B68"/>
    <w:rsid w:val="381230ED"/>
    <w:rsid w:val="39F51522"/>
    <w:rsid w:val="3A282FB0"/>
    <w:rsid w:val="3B2E1C0F"/>
    <w:rsid w:val="3BB2275C"/>
    <w:rsid w:val="3FA26E8F"/>
    <w:rsid w:val="41E1239D"/>
    <w:rsid w:val="4246491B"/>
    <w:rsid w:val="42D52872"/>
    <w:rsid w:val="435979DC"/>
    <w:rsid w:val="44FA7C3F"/>
    <w:rsid w:val="46BE1C4D"/>
    <w:rsid w:val="47B1338E"/>
    <w:rsid w:val="48F00414"/>
    <w:rsid w:val="4B9E03A0"/>
    <w:rsid w:val="4C0A0767"/>
    <w:rsid w:val="4C3468B6"/>
    <w:rsid w:val="4C6730CE"/>
    <w:rsid w:val="4CA67C81"/>
    <w:rsid w:val="4CA70A3D"/>
    <w:rsid w:val="4D720CBA"/>
    <w:rsid w:val="4F3B5856"/>
    <w:rsid w:val="534B4A7D"/>
    <w:rsid w:val="5398260C"/>
    <w:rsid w:val="54265E81"/>
    <w:rsid w:val="55B94FAC"/>
    <w:rsid w:val="56873407"/>
    <w:rsid w:val="57882E88"/>
    <w:rsid w:val="578D66F1"/>
    <w:rsid w:val="5DF272AD"/>
    <w:rsid w:val="5EFB6921"/>
    <w:rsid w:val="61855A5D"/>
    <w:rsid w:val="626E2089"/>
    <w:rsid w:val="64426D20"/>
    <w:rsid w:val="651D20E1"/>
    <w:rsid w:val="654913ED"/>
    <w:rsid w:val="65D8322D"/>
    <w:rsid w:val="66A92AAF"/>
    <w:rsid w:val="672229B1"/>
    <w:rsid w:val="6AE76AE0"/>
    <w:rsid w:val="6B6A13DF"/>
    <w:rsid w:val="6C28551F"/>
    <w:rsid w:val="6F573E64"/>
    <w:rsid w:val="73D3578A"/>
    <w:rsid w:val="7404768D"/>
    <w:rsid w:val="748C3B60"/>
    <w:rsid w:val="77561DDD"/>
    <w:rsid w:val="792E3438"/>
    <w:rsid w:val="7ADD5115"/>
    <w:rsid w:val="7C495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2595</Words>
  <Characters>2748</Characters>
  <Lines>0</Lines>
  <Paragraphs>0</Paragraphs>
  <TotalTime>40</TotalTime>
  <ScaleCrop>false</ScaleCrop>
  <LinksUpToDate>false</LinksUpToDate>
  <CharactersWithSpaces>2796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2021-01-19T03:11:00Z</dcterms:created>
  <dc:creator>Administrator</dc:creator>
  <cp:lastModifiedBy>舍～得</cp:lastModifiedBy>
  <cp:lastPrinted>2024-01-17T08:34:00Z</cp:lastPrinted>
  <dcterms:modified xsi:type="dcterms:W3CDTF">2024-01-18T07:10:32Z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F565E97609BE4EA4A711E7270397D7A1_13</vt:lpwstr>
  </property>
</Properties>
</file>