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方正小标宋简体"/>
          <w:sz w:val="44"/>
          <w:szCs w:val="44"/>
          <w:lang w:val="en-US" w:eastAsia="zh-CN"/>
        </w:rPr>
      </w:pPr>
    </w:p>
    <w:p>
      <w:pPr>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薛城区科学技术局2023年</w:t>
      </w:r>
      <w:r>
        <w:rPr>
          <w:rFonts w:hint="eastAsia" w:ascii="Times New Roman" w:hAnsi="Times New Roman" w:eastAsia="方正小标宋简体" w:cs="方正小标宋简体"/>
          <w:sz w:val="44"/>
          <w:szCs w:val="44"/>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根据《中华人民共和国政府信息公开条例》（国务院令第711号，以下简称《条例》）和《国务院办公厅政府信息与政务公开办公室关于印发&lt;中华人民共和国政府信息公开工作年度报告格式&gt;的通知》（国办公开办函〔2021〕30号），现就推进政府信息公开工作情况，向社会公布薛城区科学技术局2023年度政府信息公开年度报告。本报告包括总体情况、主动公开政府信息情况、收到和处理政府信息公开申请情况、政府信息公开行政复议和行政诉讼情况、存在的主要问题及改进情况、其他需要报告的事项等六个部分。本年度报告中所列数据的统计期限自2023年1月1日起至2023年12月31日止。本年度报告的电子版可以在“薛城区政府门户网站”（http://www.xuecheng.gov.cn/zwgk/xxgknb/2023xxgknb/)下载。如对本报告有疑问，可与薛城区科学技术局办公室联系</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sz w:val="32"/>
          <w:szCs w:val="32"/>
          <w:lang w:val="en-US" w:eastAsia="zh-CN"/>
        </w:rPr>
        <w:t>地址:枣庄市薛城区晟鸿大厦5085室，邮编：277000 ，电话：0632—4412432，电子邮箱：</w:t>
      </w:r>
      <w:r>
        <w:rPr>
          <w:rFonts w:hint="eastAsia" w:ascii="Times New Roman" w:hAnsi="Times New Roman" w:eastAsia="仿宋_GB2312"/>
          <w:sz w:val="32"/>
          <w:szCs w:val="32"/>
          <w:lang w:val="en-US" w:eastAsia="zh-CN"/>
        </w:rPr>
        <w:fldChar w:fldCharType="begin"/>
      </w:r>
      <w:r>
        <w:rPr>
          <w:rFonts w:hint="eastAsia" w:ascii="Times New Roman" w:hAnsi="Times New Roman" w:eastAsia="仿宋_GB2312"/>
          <w:sz w:val="32"/>
          <w:szCs w:val="32"/>
          <w:lang w:val="en-US" w:eastAsia="zh-CN"/>
        </w:rPr>
        <w:instrText xml:space="preserve"> HYPERLINK "mailto:xcqkjj@zz.shandong.cn)" </w:instrText>
      </w:r>
      <w:r>
        <w:rPr>
          <w:rFonts w:hint="eastAsia" w:ascii="Times New Roman" w:hAnsi="Times New Roman" w:eastAsia="仿宋_GB2312"/>
          <w:sz w:val="32"/>
          <w:szCs w:val="32"/>
          <w:lang w:val="en-US" w:eastAsia="zh-CN"/>
        </w:rPr>
        <w:fldChar w:fldCharType="separate"/>
      </w:r>
      <w:r>
        <w:rPr>
          <w:rFonts w:hint="eastAsia" w:ascii="Times New Roman" w:hAnsi="Times New Roman" w:eastAsia="仿宋_GB2312"/>
          <w:sz w:val="32"/>
          <w:szCs w:val="32"/>
          <w:lang w:val="en-US" w:eastAsia="zh-CN"/>
        </w:rPr>
        <w:t>xcqkjj@zz.shandong.cn</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sz w:val="32"/>
          <w:szCs w:val="32"/>
          <w:lang w:val="en-US" w:eastAsia="zh-CN"/>
        </w:rPr>
        <w:fldChar w:fldCharType="end"/>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一、整体情况</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2023年，薛城区科学技术局认真贯彻落实《中华人民共和国政府信息公开条例》，聚焦中心工作和重点领域，积极做好政府信息公开工作，规范公开程序，全面推进行政决策、执行、管理、服务和结果全过程公开，有效提升了政府信息公开工作的效率和质量。现将政务公开工作报告如下：</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主动公开情况。今</w:t>
      </w:r>
      <w:r>
        <w:rPr>
          <w:rFonts w:hint="eastAsia" w:ascii="Times New Roman" w:hAnsi="Times New Roman" w:eastAsia="仿宋_GB2312"/>
          <w:color w:val="auto"/>
          <w:sz w:val="32"/>
          <w:szCs w:val="32"/>
          <w:highlight w:val="none"/>
          <w:lang w:val="en-US" w:eastAsia="zh-CN"/>
        </w:rPr>
        <w:t>年以来，区科技局通过薛城区政府网站主动公开政府信息</w:t>
      </w:r>
      <w:r>
        <w:rPr>
          <w:rFonts w:hint="default" w:ascii="Times New Roman" w:hAnsi="Times New Roman" w:eastAsia="仿宋_GB2312" w:cs="Times New Roman"/>
          <w:color w:val="auto"/>
          <w:sz w:val="32"/>
          <w:szCs w:val="32"/>
          <w:highlight w:val="none"/>
          <w:lang w:val="en-US" w:eastAsia="zh-CN"/>
        </w:rPr>
        <w:t>33</w:t>
      </w:r>
      <w:r>
        <w:rPr>
          <w:rFonts w:hint="eastAsia" w:ascii="Times New Roman" w:hAnsi="Times New Roman" w:eastAsia="仿宋_GB2312"/>
          <w:color w:val="auto"/>
          <w:sz w:val="32"/>
          <w:szCs w:val="32"/>
          <w:highlight w:val="none"/>
          <w:lang w:val="en-US" w:eastAsia="zh-CN"/>
        </w:rPr>
        <w:t>条，信息公开内容完整、格式规范，无敏感信息。公开内容主要包括政策文件公开、行政执法信息公开、会议公开、重要部署执行公开、重点领域信息公开、政务公开保障机制等。</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olor w:val="auto"/>
          <w:sz w:val="32"/>
          <w:szCs w:val="32"/>
          <w:highlight w:val="yellow"/>
          <w:lang w:val="en-US" w:eastAsia="zh-CN"/>
        </w:rPr>
      </w:pPr>
      <w:r>
        <w:rPr>
          <w:rFonts w:hint="eastAsia" w:ascii="Times New Roman" w:hAnsi="Times New Roman" w:eastAsia="楷体_GB2312" w:cs="楷体_GB2312"/>
          <w:color w:val="auto"/>
          <w:sz w:val="32"/>
          <w:szCs w:val="32"/>
          <w:highlight w:val="none"/>
          <w:lang w:val="en-US" w:eastAsia="zh-CN"/>
        </w:rPr>
        <w:t>（二）依申请公开情况。</w:t>
      </w:r>
      <w:r>
        <w:rPr>
          <w:rFonts w:hint="eastAsia" w:ascii="Times New Roman" w:hAnsi="Times New Roman" w:eastAsia="仿宋_GB2312"/>
          <w:color w:val="auto"/>
          <w:sz w:val="32"/>
          <w:szCs w:val="32"/>
          <w:highlight w:val="none"/>
          <w:lang w:val="en-US" w:eastAsia="zh-CN"/>
        </w:rPr>
        <w:t>2023年，区科技局收到政府信息公开申请0件，无因政府信息公开被行政复议、行政诉讼情况。</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（三）政府信息管理情况。</w:t>
      </w:r>
      <w:r>
        <w:rPr>
          <w:rFonts w:hint="eastAsia" w:ascii="Times New Roman" w:hAnsi="Times New Roman" w:eastAsia="仿宋_GB2312"/>
          <w:color w:val="auto"/>
          <w:sz w:val="32"/>
          <w:szCs w:val="32"/>
          <w:highlight w:val="none"/>
          <w:lang w:val="en-US" w:eastAsia="zh-CN"/>
        </w:rPr>
        <w:t>区科技局不断完善政务公开机制，各科室根据政务公开的工作要求和重点，结合各自职能，各司其职、分工协作，确保政务公开工作有序推进。严格执行政府信息公开审查制度，规范信息报送流程，严格进行保密审查，确保已公开信息完整、准确、安全。</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（四）政府信息公开平台建设情况。</w:t>
      </w:r>
      <w:r>
        <w:rPr>
          <w:rFonts w:hint="eastAsia" w:ascii="Times New Roman" w:hAnsi="Times New Roman" w:eastAsia="仿宋_GB2312"/>
          <w:color w:val="auto"/>
          <w:sz w:val="32"/>
          <w:szCs w:val="32"/>
          <w:highlight w:val="none"/>
          <w:lang w:val="en-US" w:eastAsia="zh-CN"/>
        </w:rPr>
        <w:t>区科技局主要通过区政府门户网站发布政务公开信息。2023年度，区科技局严格按照区政府集约化智能门户平台板块及栏目设置公开各项政务信息，确保应有公开栏目不漏项，信息报送保质保量。</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（五）监督保障情况。</w:t>
      </w:r>
      <w:r>
        <w:rPr>
          <w:rFonts w:hint="eastAsia" w:ascii="Times New Roman" w:hAnsi="Times New Roman" w:eastAsia="仿宋_GB2312"/>
          <w:color w:val="auto"/>
          <w:sz w:val="32"/>
          <w:szCs w:val="32"/>
          <w:highlight w:val="none"/>
          <w:lang w:val="en-US" w:eastAsia="zh-CN"/>
        </w:rPr>
        <w:t>区科技局把政务公开工作纳入单位重要的议事日程，进一步明确政务公开工作的重点，按照相关工作要求，制定年度政务公开实施方案和培训计划，成立局政务公开工作领导小组，并根据人员变动和工作需要及时对政务公开工作领导小组成员名单进行调整；定期组织本单位政务公开工作人员进行业务培训，提升工作水平，强化保密意识；主动接受区政务公开领导小组对区科技局政务信息公开情况的监督，对照监督检查出的问题及时认真做好整改工作。</w:t>
      </w:r>
    </w:p>
    <w:p>
      <w:pPr>
        <w:ind w:firstLine="640" w:firstLineChars="200"/>
        <w:jc w:val="both"/>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Calibri"/>
                <w:color w:val="000000"/>
                <w:kern w:val="0"/>
                <w:szCs w:val="21"/>
                <w:lang w:val="en-US" w:eastAsia="zh-CN"/>
              </w:rPr>
            </w:pPr>
            <w:r>
              <w:rPr>
                <w:rFonts w:hint="eastAsia" w:ascii="Times New Roman" w:hAnsi="Times New Roman"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Calibri"/>
                <w:color w:val="000000"/>
                <w:kern w:val="0"/>
                <w:szCs w:val="21"/>
                <w:lang w:val="en-US" w:eastAsia="zh-CN"/>
              </w:rPr>
            </w:pPr>
            <w:r>
              <w:rPr>
                <w:rFonts w:hint="eastAsia" w:ascii="Times New Roman" w:hAnsi="Times New Roman"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Times New Roman" w:hAnsi="Times New Roman" w:eastAsia="仿宋_GB2312" w:cs="Calibri"/>
                <w:color w:val="000000"/>
                <w:kern w:val="0"/>
                <w:szCs w:val="21"/>
                <w:lang w:val="en-US" w:eastAsia="zh-CN"/>
              </w:rPr>
            </w:pPr>
            <w:r>
              <w:rPr>
                <w:rFonts w:hint="eastAsia" w:ascii="Times New Roman" w:hAnsi="Times New Roman"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宋体"/>
                <w:color w:val="000000"/>
                <w:kern w:val="0"/>
                <w:szCs w:val="21"/>
                <w:lang w:val="en-US" w:eastAsia="zh-CN"/>
              </w:rPr>
            </w:pPr>
            <w:r>
              <w:rPr>
                <w:rFonts w:hint="eastAsia" w:ascii="Times New Roman" w:hAnsi="Times New Roman"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Times New Roman" w:hAnsi="Times New Roman" w:eastAsia="仿宋_GB2312" w:cs="Calibri"/>
                <w:color w:val="000000"/>
                <w:kern w:val="0"/>
                <w:szCs w:val="21"/>
                <w:lang w:val="en-US" w:eastAsia="zh-CN"/>
              </w:rPr>
            </w:pPr>
            <w:r>
              <w:rPr>
                <w:rFonts w:hint="eastAsia" w:ascii="Times New Roman" w:hAnsi="Times New Roman" w:eastAsia="仿宋_GB2312" w:cs="Calibri"/>
                <w:color w:val="000000"/>
                <w:kern w:val="0"/>
                <w:szCs w:val="21"/>
                <w:lang w:val="en-US" w:eastAsia="zh-CN"/>
              </w:rPr>
              <w:t>0</w:t>
            </w:r>
          </w:p>
        </w:tc>
      </w:tr>
    </w:tbl>
    <w:p>
      <w:pPr>
        <w:ind w:firstLine="640" w:firstLineChars="200"/>
        <w:jc w:val="both"/>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三、收到和处理政府信息公开申请情况</w:t>
      </w:r>
    </w:p>
    <w:p>
      <w:pPr>
        <w:ind w:firstLine="640" w:firstLineChars="200"/>
        <w:rPr>
          <w:rFonts w:ascii="Times New Roman" w:hAnsi="Times New Roman" w:eastAsia="仿宋_GB2312"/>
          <w:sz w:val="32"/>
          <w:szCs w:val="32"/>
        </w:rPr>
        <w:sectPr>
          <w:footerReference r:id="rId3" w:type="default"/>
          <w:pgSz w:w="11906" w:h="16838"/>
          <w:pgMar w:top="1440" w:right="1474" w:bottom="1440" w:left="1588" w:header="851" w:footer="992" w:gutter="0"/>
          <w:pgNumType w:fmt="numberInDash"/>
          <w:cols w:space="425" w:num="1"/>
          <w:docGrid w:type="lines" w:linePitch="312" w:charSpace="0"/>
        </w:sectPr>
      </w:pPr>
    </w:p>
    <w:p>
      <w:pPr>
        <w:rPr>
          <w:rFonts w:ascii="Times New Roman" w:hAnsi="Times New Roman" w:eastAsia="仿宋_GB2312"/>
          <w:sz w:val="32"/>
          <w:szCs w:val="32"/>
        </w:rPr>
      </w:pP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Times New Roman" w:hAnsi="Times New Roman" w:eastAsia="楷体_GB2312"/>
                <w:kern w:val="0"/>
                <w:szCs w:val="21"/>
              </w:rPr>
            </w:pPr>
            <w:r>
              <w:rPr>
                <w:rFonts w:hint="eastAsia" w:ascii="Times New Roman" w:hAnsi="Times New Roman" w:eastAsia="楷体_GB2312"/>
                <w:kern w:val="0"/>
                <w:szCs w:val="21"/>
              </w:rPr>
              <w:t>（本列数据的勾稽关系为：第一项加第二项之和，</w:t>
            </w:r>
          </w:p>
          <w:p>
            <w:pPr>
              <w:widowControl/>
              <w:jc w:val="center"/>
              <w:rPr>
                <w:rFonts w:ascii="Times New Roman" w:hAnsi="Times New Roman" w:eastAsia="仿宋_GB2312"/>
                <w:szCs w:val="21"/>
              </w:rPr>
            </w:pPr>
            <w:r>
              <w:rPr>
                <w:rFonts w:hint="eastAsia" w:ascii="Times New Roman" w:hAnsi="Times New Roman"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Times New Roman" w:hAnsi="Times New Roman" w:eastAsia="黑体"/>
                <w:szCs w:val="21"/>
              </w:rPr>
            </w:pPr>
            <w:r>
              <w:rPr>
                <w:rFonts w:hint="eastAsia" w:ascii="Times New Roman" w:hAnsi="Times New Roman"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Times New Roman"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Times New Roman" w:hAnsi="Times New Roman" w:eastAsia="黑体"/>
                <w:szCs w:val="21"/>
              </w:rPr>
            </w:pPr>
            <w:r>
              <w:rPr>
                <w:rFonts w:hint="eastAsia" w:ascii="Times New Roman" w:hAnsi="Times New Roman"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Times New Roman" w:hAnsi="Times New Roman" w:eastAsia="黑体"/>
                <w:szCs w:val="21"/>
              </w:rPr>
            </w:pPr>
            <w:r>
              <w:rPr>
                <w:rFonts w:hint="eastAsia" w:ascii="Times New Roman" w:hAnsi="Times New Roman"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Times New Roman" w:hAnsi="Times New Roman" w:eastAsia="黑体"/>
                <w:szCs w:val="21"/>
              </w:rPr>
            </w:pPr>
            <w:r>
              <w:rPr>
                <w:rFonts w:hint="eastAsia" w:ascii="Times New Roman" w:hAnsi="Times New Roman"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Times New Roman"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Times New Roman" w:hAnsi="Times New Roman"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szCs w:val="21"/>
              </w:rPr>
            </w:pPr>
            <w:r>
              <w:rPr>
                <w:rFonts w:hint="eastAsia" w:ascii="Times New Roman" w:hAnsi="Times New Roman"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szCs w:val="21"/>
              </w:rPr>
            </w:pPr>
            <w:r>
              <w:rPr>
                <w:rFonts w:hint="eastAsia" w:ascii="Times New Roman" w:hAnsi="Times New Roman"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szCs w:val="21"/>
              </w:rPr>
            </w:pPr>
            <w:r>
              <w:rPr>
                <w:rFonts w:hint="eastAsia" w:ascii="Times New Roman" w:hAnsi="Times New Roman"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szCs w:val="21"/>
              </w:rPr>
            </w:pPr>
            <w:r>
              <w:rPr>
                <w:rFonts w:hint="eastAsia" w:ascii="Times New Roman" w:hAnsi="Times New Roman"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Times New Roman" w:hAnsi="Times New Roman" w:eastAsia="黑体"/>
                <w:szCs w:val="21"/>
              </w:rPr>
            </w:pPr>
            <w:r>
              <w:rPr>
                <w:rFonts w:hint="eastAsia" w:ascii="Times New Roman" w:hAnsi="Times New Roman" w:eastAsia="黑体"/>
                <w:kern w:val="0"/>
                <w:szCs w:val="21"/>
              </w:rPr>
              <w:t>其他</w:t>
            </w:r>
          </w:p>
        </w:tc>
        <w:tc>
          <w:tcPr>
            <w:tcW w:w="851" w:type="dxa"/>
            <w:vMerge w:val="continue"/>
            <w:shd w:val="clear" w:color="auto" w:fill="auto"/>
            <w:tcMar>
              <w:left w:w="108" w:type="dxa"/>
              <w:right w:w="108" w:type="dxa"/>
            </w:tcMar>
            <w:vAlign w:val="center"/>
          </w:tcPr>
          <w:p>
            <w:pPr>
              <w:jc w:val="cente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Times New Roman" w:hAnsi="Times New Roman" w:eastAsia="黑体"/>
                <w:szCs w:val="21"/>
              </w:rPr>
            </w:pPr>
            <w:r>
              <w:rPr>
                <w:rFonts w:hint="eastAsia" w:ascii="Times New Roman" w:hAnsi="Times New Roman" w:eastAsia="黑体"/>
                <w:kern w:val="0"/>
                <w:szCs w:val="21"/>
              </w:rPr>
              <w:t>一、</w:t>
            </w:r>
            <w:bookmarkStart w:id="0" w:name="_Hlk66973412"/>
            <w:r>
              <w:rPr>
                <w:rFonts w:hint="eastAsia" w:ascii="Times New Roman" w:hAnsi="Times New Roman"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Times New Roman" w:hAnsi="Times New Roman" w:eastAsia="黑体"/>
                <w:szCs w:val="21"/>
              </w:rPr>
            </w:pPr>
            <w:r>
              <w:rPr>
                <w:rFonts w:hint="eastAsia" w:ascii="Times New Roman" w:hAnsi="Times New Roman"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Times New Roman" w:hAnsi="Times New Roman" w:eastAsia="黑体"/>
                <w:szCs w:val="21"/>
              </w:rPr>
            </w:pPr>
            <w:r>
              <w:rPr>
                <w:rFonts w:hint="eastAsia" w:ascii="Times New Roman" w:hAnsi="Times New Roman"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Times New Roman" w:hAnsi="Times New Roman" w:eastAsia="黑体"/>
                <w:szCs w:val="21"/>
              </w:rPr>
            </w:pPr>
            <w:r>
              <w:rPr>
                <w:rFonts w:hint="eastAsia" w:ascii="Times New Roman" w:hAnsi="Times New Roman"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4677" w:type="dxa"/>
            <w:gridSpan w:val="2"/>
            <w:shd w:val="clear" w:color="auto" w:fill="auto"/>
            <w:tcMar>
              <w:left w:w="108" w:type="dxa"/>
              <w:right w:w="108" w:type="dxa"/>
            </w:tcMar>
            <w:vAlign w:val="center"/>
          </w:tcPr>
          <w:p>
            <w:pPr>
              <w:widowControl/>
              <w:rPr>
                <w:rFonts w:ascii="Times New Roman" w:hAnsi="Times New Roman" w:eastAsia="黑体"/>
                <w:szCs w:val="21"/>
              </w:rPr>
            </w:pPr>
            <w:r>
              <w:rPr>
                <w:rFonts w:hint="eastAsia" w:ascii="Times New Roman" w:hAnsi="Times New Roman" w:eastAsia="黑体"/>
                <w:kern w:val="0"/>
                <w:szCs w:val="21"/>
              </w:rPr>
              <w:t>（二）部分公开（</w:t>
            </w:r>
            <w:bookmarkStart w:id="1" w:name="_Hlk66973981"/>
            <w:r>
              <w:rPr>
                <w:rFonts w:hint="eastAsia" w:ascii="Times New Roman" w:hAnsi="Times New Roman" w:eastAsia="黑体"/>
                <w:kern w:val="0"/>
                <w:szCs w:val="21"/>
              </w:rPr>
              <w:t>区分处理的，只计这一情形，不计其他情形</w:t>
            </w:r>
            <w:bookmarkEnd w:id="1"/>
            <w:r>
              <w:rPr>
                <w:rFonts w:hint="eastAsia" w:ascii="Times New Roman" w:hAnsi="Times New Roman"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szCs w:val="21"/>
              </w:rPr>
            </w:pPr>
            <w:r>
              <w:rPr>
                <w:rFonts w:hint="eastAsia" w:ascii="Times New Roman" w:hAnsi="Times New Roman"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2.</w:t>
            </w:r>
            <w:bookmarkStart w:id="2" w:name="_Hlk66974104"/>
            <w:r>
              <w:rPr>
                <w:rFonts w:hint="eastAsia" w:ascii="Times New Roman" w:hAnsi="Times New Roman"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4.</w:t>
            </w:r>
            <w:bookmarkStart w:id="3" w:name="_Hlk66974290"/>
            <w:r>
              <w:rPr>
                <w:rFonts w:hint="eastAsia" w:ascii="Times New Roman" w:hAnsi="Times New Roman"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6.</w:t>
            </w:r>
            <w:bookmarkStart w:id="4" w:name="_Hlk66974555"/>
            <w:r>
              <w:rPr>
                <w:rFonts w:hint="eastAsia" w:ascii="Times New Roman" w:hAnsi="Times New Roman"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8.</w:t>
            </w:r>
            <w:bookmarkStart w:id="5" w:name="_Hlk66975211"/>
            <w:r>
              <w:rPr>
                <w:rFonts w:hint="eastAsia" w:ascii="Times New Roman" w:hAnsi="Times New Roman"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szCs w:val="21"/>
              </w:rPr>
            </w:pPr>
            <w:r>
              <w:rPr>
                <w:rFonts w:hint="eastAsia" w:ascii="Times New Roman" w:hAnsi="Times New Roman"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2.</w:t>
            </w:r>
            <w:bookmarkStart w:id="6" w:name="_Hlk66975392"/>
            <w:r>
              <w:rPr>
                <w:rFonts w:hint="eastAsia" w:ascii="Times New Roman" w:hAnsi="Times New Roman"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3.</w:t>
            </w:r>
            <w:bookmarkStart w:id="7" w:name="_Hlk66975466"/>
            <w:r>
              <w:rPr>
                <w:rFonts w:hint="eastAsia" w:ascii="Times New Roman" w:hAnsi="Times New Roman"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szCs w:val="21"/>
              </w:rPr>
            </w:pPr>
            <w:r>
              <w:rPr>
                <w:rFonts w:hint="eastAsia" w:ascii="Times New Roman" w:hAnsi="Times New Roman"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1.</w:t>
            </w:r>
            <w:bookmarkStart w:id="8" w:name="_Hlk66975537"/>
            <w:r>
              <w:rPr>
                <w:rFonts w:hint="eastAsia" w:ascii="Times New Roman" w:hAnsi="Times New Roman"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kern w:val="0"/>
                <w:szCs w:val="21"/>
              </w:rPr>
            </w:pPr>
            <w:r>
              <w:rPr>
                <w:rFonts w:hint="eastAsia" w:ascii="Times New Roman" w:hAnsi="Times New Roman"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szCs w:val="21"/>
              </w:rPr>
            </w:pPr>
            <w:r>
              <w:rPr>
                <w:rFonts w:hint="eastAsia" w:ascii="Times New Roman" w:hAnsi="Times New Roman"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szCs w:val="21"/>
              </w:rPr>
            </w:pPr>
            <w:r>
              <w:rPr>
                <w:rFonts w:hint="eastAsia" w:ascii="Times New Roman" w:hAnsi="Times New Roman"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spacing w:line="300" w:lineRule="exact"/>
              <w:rPr>
                <w:rFonts w:ascii="Times New Roman" w:hAnsi="Times New Roman" w:eastAsia="仿宋_GB2312"/>
                <w:kern w:val="0"/>
                <w:szCs w:val="21"/>
              </w:rPr>
            </w:pPr>
            <w:r>
              <w:rPr>
                <w:rFonts w:hint="eastAsia" w:ascii="Times New Roman" w:hAnsi="Times New Roman" w:eastAsia="仿宋_GB2312"/>
                <w:kern w:val="0"/>
                <w:szCs w:val="21"/>
              </w:rPr>
              <w:t>5.要求行政机关确认或重新</w:t>
            </w:r>
          </w:p>
          <w:p>
            <w:pPr>
              <w:widowControl/>
              <w:spacing w:line="300" w:lineRule="exact"/>
              <w:ind w:firstLine="210" w:firstLineChars="100"/>
              <w:rPr>
                <w:rFonts w:ascii="Times New Roman" w:hAnsi="Times New Roman" w:eastAsia="仿宋_GB2312"/>
                <w:szCs w:val="21"/>
              </w:rPr>
            </w:pPr>
            <w:r>
              <w:rPr>
                <w:rFonts w:hint="eastAsia" w:ascii="Times New Roman" w:hAnsi="Times New Roman"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Times New Roman" w:hAnsi="Times New Roman" w:eastAsia="黑体"/>
                <w:kern w:val="0"/>
                <w:szCs w:val="21"/>
              </w:rPr>
            </w:pPr>
            <w:r>
              <w:rPr>
                <w:rFonts w:hint="eastAsia" w:ascii="Times New Roman" w:hAnsi="Times New Roman" w:eastAsia="黑体"/>
                <w:kern w:val="0"/>
                <w:szCs w:val="21"/>
              </w:rPr>
              <w:t>（六）其他处理</w:t>
            </w:r>
          </w:p>
        </w:tc>
        <w:tc>
          <w:tcPr>
            <w:tcW w:w="2976" w:type="dxa"/>
            <w:shd w:val="clear" w:color="auto" w:fill="auto"/>
            <w:vAlign w:val="center"/>
          </w:tcPr>
          <w:p>
            <w:pPr>
              <w:widowControl/>
              <w:spacing w:line="300" w:lineRule="exact"/>
              <w:rPr>
                <w:rFonts w:ascii="Times New Roman" w:hAnsi="Times New Roman" w:eastAsia="仿宋_GB2312"/>
              </w:rPr>
            </w:pPr>
            <w:r>
              <w:rPr>
                <w:rFonts w:hint="eastAsia" w:ascii="Times New Roman" w:hAnsi="Times New Roman"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Times New Roman" w:hAnsi="Times New Roman" w:eastAsia="黑体"/>
                <w:kern w:val="0"/>
                <w:szCs w:val="21"/>
              </w:rPr>
            </w:pPr>
          </w:p>
        </w:tc>
        <w:tc>
          <w:tcPr>
            <w:tcW w:w="2976" w:type="dxa"/>
            <w:shd w:val="clear" w:color="auto" w:fill="auto"/>
            <w:vAlign w:val="center"/>
          </w:tcPr>
          <w:p>
            <w:pPr>
              <w:widowControl/>
              <w:spacing w:line="300" w:lineRule="exact"/>
              <w:rPr>
                <w:rFonts w:ascii="Times New Roman" w:hAnsi="Times New Roman" w:eastAsia="仿宋_GB2312"/>
                <w:kern w:val="0"/>
                <w:szCs w:val="21"/>
              </w:rPr>
            </w:pPr>
            <w:r>
              <w:rPr>
                <w:rFonts w:hint="eastAsia" w:ascii="Times New Roman" w:hAnsi="Times New Roman"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Times New Roman" w:hAnsi="Times New Roman" w:eastAsia="黑体"/>
                <w:kern w:val="0"/>
                <w:szCs w:val="21"/>
              </w:rPr>
            </w:pPr>
          </w:p>
        </w:tc>
        <w:tc>
          <w:tcPr>
            <w:tcW w:w="2976" w:type="dxa"/>
            <w:shd w:val="clear" w:color="auto" w:fill="auto"/>
            <w:vAlign w:val="center"/>
          </w:tcPr>
          <w:p>
            <w:pPr>
              <w:widowControl/>
              <w:spacing w:line="300" w:lineRule="exact"/>
              <w:rPr>
                <w:rFonts w:ascii="Times New Roman" w:hAnsi="Times New Roman" w:eastAsia="仿宋_GB2312"/>
                <w:kern w:val="0"/>
                <w:szCs w:val="21"/>
              </w:rPr>
            </w:pPr>
            <w:r>
              <w:rPr>
                <w:rFonts w:hint="eastAsia" w:ascii="Times New Roman" w:hAnsi="Times New Roman"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Times New Roman" w:hAnsi="Times New Roman" w:eastAsia="黑体"/>
                <w:kern w:val="0"/>
                <w:szCs w:val="21"/>
              </w:rPr>
            </w:pPr>
            <w:r>
              <w:rPr>
                <w:rFonts w:hint="eastAsia" w:ascii="Times New Roman" w:hAnsi="Times New Roman"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Times New Roman" w:hAnsi="Times New Roman" w:eastAsia="黑体"/>
                <w:kern w:val="0"/>
                <w:szCs w:val="21"/>
              </w:rPr>
            </w:pPr>
            <w:r>
              <w:rPr>
                <w:rFonts w:hint="eastAsia" w:ascii="Times New Roman" w:hAnsi="Times New Roman"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szCs w:val="21"/>
              </w:rPr>
            </w:pPr>
            <w:r>
              <w:rPr>
                <w:rFonts w:hint="eastAsia" w:ascii="Times New Roman" w:hAnsi="Times New Roman" w:eastAsia="仿宋_GB2312"/>
                <w:szCs w:val="21"/>
                <w:lang w:val="en-US" w:eastAsia="zh-CN"/>
              </w:rPr>
              <w:t>0</w:t>
            </w:r>
          </w:p>
        </w:tc>
      </w:tr>
    </w:tbl>
    <w:p>
      <w:pPr>
        <w:jc w:val="both"/>
        <w:rPr>
          <w:rFonts w:ascii="Times New Roman" w:hAnsi="Times New Roman" w:eastAsia="仿宋_GB2312"/>
          <w:sz w:val="32"/>
          <w:szCs w:val="32"/>
        </w:rPr>
      </w:pPr>
      <w:r>
        <w:rPr>
          <w:rFonts w:hint="eastAsia" w:ascii="Times New Roman" w:hAnsi="Times New Roman" w:eastAsia="黑体" w:cs="黑体"/>
          <w:sz w:val="32"/>
          <w:szCs w:val="32"/>
          <w:lang w:val="en-US" w:eastAsia="zh-CN"/>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rPr>
            </w:pPr>
            <w:r>
              <w:rPr>
                <w:rFonts w:ascii="Times New Roman" w:hAnsi="Times New Roman"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rPr>
            </w:pPr>
            <w:r>
              <w:rPr>
                <w:rFonts w:ascii="Times New Roman" w:hAnsi="Times New Roman"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Times New Roman" w:hAnsi="Times New Roman" w:eastAsia="黑体"/>
                <w:kern w:val="0"/>
                <w:sz w:val="20"/>
                <w:szCs w:val="20"/>
              </w:rPr>
            </w:pPr>
            <w:r>
              <w:rPr>
                <w:rFonts w:ascii="Times New Roman" w:hAnsi="Times New Roman" w:eastAsia="黑体"/>
                <w:kern w:val="0"/>
                <w:sz w:val="20"/>
                <w:szCs w:val="20"/>
              </w:rPr>
              <w:t>结果</w:t>
            </w:r>
          </w:p>
          <w:p>
            <w:pPr>
              <w:widowControl/>
              <w:ind w:left="-149" w:leftChars="-71" w:right="-170" w:rightChars="-81"/>
              <w:jc w:val="center"/>
              <w:rPr>
                <w:rFonts w:ascii="Times New Roman" w:hAnsi="Times New Roman" w:eastAsia="黑体"/>
              </w:rPr>
            </w:pPr>
            <w:r>
              <w:rPr>
                <w:rFonts w:ascii="Times New Roman" w:hAnsi="Times New Roman"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Times New Roman" w:hAnsi="Times New Roman" w:eastAsia="黑体"/>
              </w:rPr>
            </w:pPr>
            <w:r>
              <w:rPr>
                <w:rFonts w:ascii="Times New Roman" w:hAnsi="Times New Roman"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Times New Roman" w:hAnsi="Times New Roman" w:eastAsia="黑体"/>
              </w:rPr>
            </w:pPr>
            <w:r>
              <w:rPr>
                <w:rFonts w:ascii="Times New Roman" w:hAnsi="Times New Roman"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Times New Roman" w:hAnsi="Times New Roman" w:eastAsia="黑体"/>
                <w:kern w:val="0"/>
                <w:sz w:val="20"/>
                <w:szCs w:val="20"/>
              </w:rPr>
            </w:pPr>
            <w:r>
              <w:rPr>
                <w:rFonts w:ascii="Times New Roman" w:hAnsi="Times New Roman" w:eastAsia="黑体"/>
                <w:kern w:val="0"/>
                <w:sz w:val="20"/>
                <w:szCs w:val="20"/>
              </w:rPr>
              <w:t>尚未</w:t>
            </w:r>
          </w:p>
          <w:p>
            <w:pPr>
              <w:widowControl/>
              <w:ind w:left="-118" w:leftChars="-56" w:right="-118" w:rightChars="-56"/>
              <w:jc w:val="center"/>
              <w:rPr>
                <w:rFonts w:ascii="Times New Roman" w:hAnsi="Times New Roman" w:eastAsia="黑体"/>
              </w:rPr>
            </w:pPr>
            <w:r>
              <w:rPr>
                <w:rFonts w:ascii="Times New Roman" w:hAnsi="Times New Roman"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Times New Roman" w:hAnsi="Times New Roman" w:eastAsia="黑体"/>
                <w:kern w:val="0"/>
                <w:sz w:val="20"/>
                <w:szCs w:val="20"/>
              </w:rPr>
            </w:pPr>
            <w:r>
              <w:rPr>
                <w:rFonts w:ascii="Times New Roman" w:hAnsi="Times New Roman" w:eastAsia="黑体"/>
                <w:kern w:val="0"/>
                <w:sz w:val="20"/>
                <w:szCs w:val="20"/>
              </w:rPr>
              <w:t>总</w:t>
            </w:r>
          </w:p>
          <w:p>
            <w:pPr>
              <w:widowControl/>
              <w:spacing w:line="320" w:lineRule="exact"/>
              <w:jc w:val="center"/>
              <w:rPr>
                <w:rFonts w:ascii="Times New Roman" w:hAnsi="Times New Roman" w:eastAsia="黑体"/>
              </w:rPr>
            </w:pPr>
            <w:r>
              <w:rPr>
                <w:rFonts w:ascii="Times New Roman" w:hAnsi="Times New Roman"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rPr>
            </w:pPr>
            <w:r>
              <w:rPr>
                <w:rFonts w:ascii="Times New Roman" w:hAnsi="Times New Roman"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rPr>
            </w:pPr>
            <w:bookmarkStart w:id="9" w:name="_Hlk67039688"/>
            <w:r>
              <w:rPr>
                <w:rFonts w:ascii="Times New Roman" w:hAnsi="Times New Roman"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Times New Roman" w:hAnsi="Times New Roman" w:eastAsia="黑体"/>
              </w:rPr>
            </w:pPr>
            <w:r>
              <w:rPr>
                <w:rFonts w:ascii="Times New Roman" w:hAnsi="Times New Roman"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Times New Roman" w:hAnsi="Times New Roman" w:eastAsia="黑体"/>
              </w:rPr>
            </w:pPr>
            <w:r>
              <w:rPr>
                <w:rFonts w:ascii="Times New Roman" w:hAnsi="Times New Roman"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Times New Roman" w:hAnsi="Times New Roman" w:eastAsia="黑体"/>
                <w:kern w:val="0"/>
                <w:sz w:val="20"/>
                <w:szCs w:val="20"/>
              </w:rPr>
            </w:pPr>
            <w:r>
              <w:rPr>
                <w:rFonts w:ascii="Times New Roman" w:hAnsi="Times New Roman" w:eastAsia="黑体"/>
                <w:kern w:val="0"/>
                <w:sz w:val="20"/>
                <w:szCs w:val="20"/>
              </w:rPr>
              <w:t>其他</w:t>
            </w:r>
          </w:p>
          <w:p>
            <w:pPr>
              <w:widowControl/>
              <w:ind w:left="-126" w:leftChars="-60" w:right="-136" w:rightChars="-65"/>
              <w:jc w:val="center"/>
              <w:rPr>
                <w:rFonts w:ascii="Times New Roman" w:hAnsi="Times New Roman" w:eastAsia="黑体"/>
              </w:rPr>
            </w:pPr>
            <w:r>
              <w:rPr>
                <w:rFonts w:ascii="Times New Roman" w:hAnsi="Times New Roman"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Times New Roman" w:hAnsi="Times New Roman" w:eastAsia="黑体"/>
                <w:kern w:val="0"/>
                <w:sz w:val="20"/>
                <w:szCs w:val="20"/>
              </w:rPr>
            </w:pPr>
            <w:r>
              <w:rPr>
                <w:rFonts w:ascii="Times New Roman" w:hAnsi="Times New Roman" w:eastAsia="黑体"/>
                <w:kern w:val="0"/>
                <w:sz w:val="20"/>
                <w:szCs w:val="20"/>
              </w:rPr>
              <w:t>尚未</w:t>
            </w:r>
          </w:p>
          <w:p>
            <w:pPr>
              <w:widowControl/>
              <w:ind w:left="-164" w:leftChars="-78" w:right="-153" w:rightChars="-73"/>
              <w:jc w:val="center"/>
              <w:rPr>
                <w:rFonts w:ascii="Times New Roman" w:hAnsi="Times New Roman" w:eastAsia="黑体"/>
              </w:rPr>
            </w:pPr>
            <w:r>
              <w:rPr>
                <w:rFonts w:ascii="Times New Roman" w:hAnsi="Times New Roman"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rPr>
            </w:pPr>
            <w:r>
              <w:rPr>
                <w:rFonts w:ascii="Times New Roman" w:hAnsi="Times New Roman"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Times New Roman" w:hAnsi="Times New Roman" w:eastAsia="黑体"/>
              </w:rPr>
            </w:pPr>
            <w:r>
              <w:rPr>
                <w:rFonts w:ascii="Times New Roman" w:hAnsi="Times New Roman"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Times New Roman" w:hAnsi="Times New Roman" w:eastAsia="黑体"/>
                <w:kern w:val="0"/>
                <w:sz w:val="20"/>
                <w:szCs w:val="20"/>
              </w:rPr>
            </w:pPr>
            <w:r>
              <w:rPr>
                <w:rFonts w:ascii="Times New Roman" w:hAnsi="Times New Roman" w:eastAsia="黑体"/>
                <w:kern w:val="0"/>
                <w:sz w:val="20"/>
                <w:szCs w:val="20"/>
              </w:rPr>
              <w:t>结果</w:t>
            </w:r>
          </w:p>
          <w:p>
            <w:pPr>
              <w:widowControl/>
              <w:ind w:left="-136" w:leftChars="-65" w:right="-124" w:rightChars="-59"/>
              <w:jc w:val="center"/>
              <w:rPr>
                <w:rFonts w:ascii="Times New Roman" w:hAnsi="Times New Roman" w:eastAsia="黑体"/>
              </w:rPr>
            </w:pPr>
            <w:r>
              <w:rPr>
                <w:rFonts w:ascii="Times New Roman" w:hAnsi="Times New Roman"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Times New Roman" w:hAnsi="Times New Roman" w:eastAsia="黑体"/>
                <w:kern w:val="0"/>
                <w:sz w:val="20"/>
                <w:szCs w:val="20"/>
              </w:rPr>
            </w:pPr>
            <w:r>
              <w:rPr>
                <w:rFonts w:ascii="Times New Roman" w:hAnsi="Times New Roman" w:eastAsia="黑体"/>
                <w:kern w:val="0"/>
                <w:sz w:val="20"/>
                <w:szCs w:val="20"/>
              </w:rPr>
              <w:t>其他</w:t>
            </w:r>
          </w:p>
          <w:p>
            <w:pPr>
              <w:widowControl/>
              <w:ind w:left="-173" w:leftChars="-83" w:right="-134" w:rightChars="-64" w:hanging="1"/>
              <w:jc w:val="center"/>
              <w:rPr>
                <w:rFonts w:ascii="Times New Roman" w:hAnsi="Times New Roman" w:eastAsia="黑体"/>
              </w:rPr>
            </w:pPr>
            <w:r>
              <w:rPr>
                <w:rFonts w:ascii="Times New Roman" w:hAnsi="Times New Roman"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Times New Roman" w:hAnsi="Times New Roman" w:eastAsia="黑体"/>
              </w:rPr>
            </w:pPr>
            <w:r>
              <w:rPr>
                <w:rFonts w:ascii="Times New Roman" w:hAnsi="Times New Roman"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rPr>
            </w:pPr>
            <w:r>
              <w:rPr>
                <w:rFonts w:ascii="Times New Roman" w:hAnsi="Times New Roman"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ind w:firstLine="640" w:firstLineChars="200"/>
        <w:jc w:val="both"/>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w:t>
      </w:r>
      <w:r>
        <w:rPr>
          <w:rFonts w:hint="eastAsia" w:ascii="Times New Roman" w:hAnsi="Times New Roman" w:eastAsia="仿宋_GB2312"/>
          <w:sz w:val="32"/>
          <w:szCs w:val="32"/>
          <w:highlight w:val="none"/>
          <w:lang w:val="en-US" w:eastAsia="zh-CN"/>
        </w:rPr>
        <w:t>区科技局严格</w:t>
      </w:r>
      <w:r>
        <w:rPr>
          <w:rFonts w:hint="eastAsia" w:ascii="Times New Roman" w:hAnsi="Times New Roman" w:eastAsia="仿宋_GB2312"/>
          <w:sz w:val="32"/>
          <w:szCs w:val="32"/>
          <w:highlight w:val="none"/>
        </w:rPr>
        <w:t>按照区政府政务公开工作的相关要求，持续提升</w:t>
      </w:r>
      <w:r>
        <w:rPr>
          <w:rFonts w:hint="eastAsia" w:ascii="Times New Roman" w:hAnsi="Times New Roman" w:eastAsia="仿宋_GB2312"/>
          <w:sz w:val="32"/>
          <w:szCs w:val="32"/>
          <w:highlight w:val="none"/>
          <w:lang w:val="en-US" w:eastAsia="zh-CN"/>
        </w:rPr>
        <w:t>信息公开</w:t>
      </w:r>
      <w:r>
        <w:rPr>
          <w:rFonts w:hint="eastAsia" w:ascii="Times New Roman" w:hAnsi="Times New Roman" w:eastAsia="仿宋_GB2312"/>
          <w:sz w:val="32"/>
          <w:szCs w:val="32"/>
          <w:highlight w:val="none"/>
        </w:rPr>
        <w:t>的工作水平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但也存在一些不足，</w:t>
      </w:r>
      <w:r>
        <w:rPr>
          <w:rFonts w:hint="eastAsia" w:ascii="Times New Roman" w:hAnsi="Times New Roman" w:eastAsia="仿宋_GB2312"/>
          <w:sz w:val="32"/>
          <w:szCs w:val="32"/>
          <w:highlight w:val="none"/>
          <w:lang w:val="en-US" w:eastAsia="zh-CN"/>
        </w:rPr>
        <w:t>一</w:t>
      </w:r>
      <w:r>
        <w:rPr>
          <w:rFonts w:hint="eastAsia" w:ascii="Times New Roman" w:hAnsi="Times New Roman" w:eastAsia="仿宋_GB2312"/>
          <w:sz w:val="32"/>
          <w:szCs w:val="32"/>
          <w:highlight w:val="none"/>
        </w:rPr>
        <w:t>是信息公开的内容还需</w:t>
      </w:r>
      <w:r>
        <w:rPr>
          <w:rFonts w:hint="eastAsia" w:ascii="Times New Roman" w:hAnsi="Times New Roman" w:eastAsia="仿宋_GB2312"/>
          <w:sz w:val="32"/>
          <w:szCs w:val="32"/>
          <w:highlight w:val="none"/>
          <w:lang w:val="en-US" w:eastAsia="zh-CN"/>
        </w:rPr>
        <w:t>进一步优化和完善；二是工作流程仍需进一步规范；三是</w:t>
      </w:r>
      <w:r>
        <w:rPr>
          <w:rFonts w:hint="eastAsia" w:ascii="Times New Roman" w:hAnsi="Times New Roman" w:eastAsia="仿宋_GB2312"/>
          <w:sz w:val="32"/>
          <w:szCs w:val="32"/>
          <w:highlight w:val="none"/>
        </w:rPr>
        <w:t>主动公开的深度和质量</w:t>
      </w:r>
      <w:r>
        <w:rPr>
          <w:rFonts w:hint="eastAsia" w:ascii="Times New Roman" w:hAnsi="Times New Roman" w:eastAsia="仿宋_GB2312"/>
          <w:sz w:val="32"/>
          <w:szCs w:val="32"/>
          <w:highlight w:val="none"/>
          <w:lang w:val="en-US" w:eastAsia="zh-CN"/>
        </w:rPr>
        <w:t>还</w:t>
      </w:r>
      <w:r>
        <w:rPr>
          <w:rFonts w:hint="eastAsia" w:ascii="Times New Roman" w:hAnsi="Times New Roman" w:eastAsia="仿宋_GB2312"/>
          <w:sz w:val="32"/>
          <w:szCs w:val="32"/>
          <w:highlight w:val="none"/>
        </w:rPr>
        <w:t>需进一步提高。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highlight w:val="yellow"/>
        </w:rPr>
      </w:pPr>
      <w:r>
        <w:rPr>
          <w:rFonts w:hint="eastAsia" w:ascii="Times New Roman" w:hAnsi="Times New Roman" w:eastAsia="仿宋_GB2312"/>
          <w:sz w:val="32"/>
          <w:szCs w:val="32"/>
          <w:highlight w:val="none"/>
        </w:rPr>
        <w:t>下一步，</w:t>
      </w:r>
      <w:r>
        <w:rPr>
          <w:rFonts w:hint="eastAsia" w:ascii="Times New Roman" w:hAnsi="Times New Roman" w:eastAsia="仿宋_GB2312"/>
          <w:sz w:val="32"/>
          <w:szCs w:val="32"/>
          <w:highlight w:val="none"/>
          <w:lang w:val="en-US" w:eastAsia="zh-CN"/>
        </w:rPr>
        <w:t>区科技局</w:t>
      </w:r>
      <w:r>
        <w:rPr>
          <w:rFonts w:hint="eastAsia" w:ascii="Times New Roman" w:hAnsi="Times New Roman" w:eastAsia="仿宋_GB2312"/>
          <w:sz w:val="32"/>
          <w:szCs w:val="32"/>
          <w:highlight w:val="none"/>
        </w:rPr>
        <w:t>将继续深入贯彻落实《</w:t>
      </w:r>
      <w:r>
        <w:rPr>
          <w:rFonts w:hint="eastAsia" w:ascii="Times New Roman" w:hAnsi="Times New Roman" w:eastAsia="仿宋_GB2312"/>
          <w:sz w:val="32"/>
          <w:szCs w:val="32"/>
          <w:highlight w:val="none"/>
          <w:lang w:val="en-US" w:eastAsia="zh-CN"/>
        </w:rPr>
        <w:t>中华人民共和国政府信息公开</w:t>
      </w:r>
      <w:r>
        <w:rPr>
          <w:rFonts w:hint="eastAsia" w:ascii="Times New Roman" w:hAnsi="Times New Roman" w:eastAsia="仿宋_GB2312"/>
          <w:sz w:val="32"/>
          <w:szCs w:val="32"/>
          <w:highlight w:val="none"/>
        </w:rPr>
        <w:t>条例》，</w:t>
      </w:r>
      <w:r>
        <w:rPr>
          <w:rFonts w:hint="eastAsia" w:ascii="Times New Roman" w:hAnsi="Times New Roman" w:eastAsia="仿宋_GB2312"/>
          <w:sz w:val="32"/>
          <w:szCs w:val="32"/>
          <w:highlight w:val="none"/>
          <w:lang w:val="en-US" w:eastAsia="zh-CN"/>
        </w:rPr>
        <w:t>不断提高政府信息公开工作实效，进一步提升政务公开工作水平</w:t>
      </w:r>
      <w:r>
        <w:rPr>
          <w:rFonts w:hint="eastAsia" w:ascii="Times New Roman" w:hAnsi="Times New Roman" w:eastAsia="仿宋_GB2312"/>
          <w:sz w:val="32"/>
          <w:szCs w:val="32"/>
          <w:highlight w:val="none"/>
        </w:rPr>
        <w:t>。一是提高</w:t>
      </w:r>
      <w:r>
        <w:rPr>
          <w:rFonts w:hint="eastAsia" w:ascii="Times New Roman" w:hAnsi="Times New Roman" w:eastAsia="仿宋_GB2312"/>
          <w:sz w:val="32"/>
          <w:szCs w:val="32"/>
          <w:highlight w:val="none"/>
          <w:lang w:val="en-US" w:eastAsia="zh-CN"/>
        </w:rPr>
        <w:t>政务公开工作</w:t>
      </w:r>
      <w:r>
        <w:rPr>
          <w:rFonts w:hint="eastAsia" w:ascii="Times New Roman" w:hAnsi="Times New Roman" w:eastAsia="仿宋_GB2312"/>
          <w:sz w:val="32"/>
          <w:szCs w:val="32"/>
          <w:highlight w:val="none"/>
        </w:rPr>
        <w:t>思想认识，明确工作责任，</w:t>
      </w:r>
      <w:r>
        <w:rPr>
          <w:rFonts w:hint="eastAsia" w:ascii="Times New Roman" w:hAnsi="Times New Roman" w:eastAsia="仿宋_GB2312"/>
          <w:sz w:val="32"/>
          <w:szCs w:val="32"/>
          <w:highlight w:val="none"/>
          <w:lang w:val="en-US" w:eastAsia="zh-CN"/>
        </w:rPr>
        <w:t>坚持“</w:t>
      </w:r>
      <w:r>
        <w:rPr>
          <w:rFonts w:hint="eastAsia" w:ascii="Times New Roman" w:hAnsi="Times New Roman" w:eastAsia="仿宋_GB2312"/>
          <w:sz w:val="32"/>
          <w:szCs w:val="32"/>
          <w:highlight w:val="none"/>
        </w:rPr>
        <w:t>公开为常态、不公开为例外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的</w:t>
      </w:r>
      <w:r>
        <w:rPr>
          <w:rFonts w:hint="eastAsia" w:ascii="Times New Roman" w:hAnsi="Times New Roman" w:eastAsia="仿宋_GB2312"/>
          <w:sz w:val="32"/>
          <w:szCs w:val="32"/>
          <w:highlight w:val="none"/>
        </w:rPr>
        <w:t>原则，严格规范</w:t>
      </w:r>
      <w:r>
        <w:rPr>
          <w:rFonts w:hint="eastAsia" w:ascii="Times New Roman" w:hAnsi="Times New Roman" w:eastAsia="仿宋_GB2312"/>
          <w:sz w:val="32"/>
          <w:szCs w:val="32"/>
          <w:highlight w:val="none"/>
          <w:lang w:val="en-US" w:eastAsia="zh-CN"/>
        </w:rPr>
        <w:t>工作</w:t>
      </w:r>
      <w:r>
        <w:rPr>
          <w:rFonts w:hint="eastAsia" w:ascii="Times New Roman" w:hAnsi="Times New Roman" w:eastAsia="仿宋_GB2312"/>
          <w:sz w:val="32"/>
          <w:szCs w:val="32"/>
          <w:highlight w:val="none"/>
        </w:rPr>
        <w:t>程序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确保政府信息及时、准确、全面地公开。二是加</w:t>
      </w:r>
      <w:r>
        <w:rPr>
          <w:rFonts w:hint="eastAsia" w:ascii="Times New Roman" w:hAnsi="Times New Roman" w:eastAsia="仿宋_GB2312"/>
          <w:sz w:val="32"/>
          <w:szCs w:val="32"/>
          <w:highlight w:val="none"/>
          <w:lang w:val="en-US" w:eastAsia="zh-CN"/>
        </w:rPr>
        <w:t>大政务</w:t>
      </w:r>
      <w:r>
        <w:rPr>
          <w:rFonts w:hint="eastAsia" w:ascii="Times New Roman" w:hAnsi="Times New Roman" w:eastAsia="仿宋_GB2312"/>
          <w:sz w:val="32"/>
          <w:szCs w:val="32"/>
          <w:highlight w:val="none"/>
        </w:rPr>
        <w:t>公开力度，提升</w:t>
      </w:r>
      <w:r>
        <w:rPr>
          <w:rFonts w:hint="eastAsia" w:ascii="Times New Roman" w:hAnsi="Times New Roman" w:eastAsia="仿宋_GB2312"/>
          <w:sz w:val="32"/>
          <w:szCs w:val="32"/>
          <w:highlight w:val="none"/>
          <w:lang w:val="en-US" w:eastAsia="zh-CN"/>
        </w:rPr>
        <w:t>政府信息公开质效</w:t>
      </w:r>
      <w:r>
        <w:rPr>
          <w:rFonts w:hint="eastAsia" w:ascii="Times New Roman" w:hAnsi="Times New Roman" w:eastAsia="仿宋_GB2312"/>
          <w:sz w:val="32"/>
          <w:szCs w:val="32"/>
          <w:highlight w:val="none"/>
        </w:rPr>
        <w:t>。公开内容做到真实、具体，加强对公众关注度高的信息的梳理，增强工作透明度。三是加强政府信息公开</w:t>
      </w:r>
      <w:r>
        <w:rPr>
          <w:rFonts w:hint="eastAsia" w:ascii="Times New Roman" w:hAnsi="Times New Roman" w:eastAsia="仿宋_GB2312"/>
          <w:sz w:val="32"/>
          <w:szCs w:val="32"/>
          <w:highlight w:val="none"/>
          <w:lang w:val="en-US" w:eastAsia="zh-CN"/>
        </w:rPr>
        <w:t>工作理论学习和</w:t>
      </w:r>
      <w:r>
        <w:rPr>
          <w:rFonts w:hint="eastAsia" w:ascii="Times New Roman" w:hAnsi="Times New Roman" w:eastAsia="仿宋_GB2312"/>
          <w:sz w:val="32"/>
          <w:szCs w:val="32"/>
          <w:highlight w:val="none"/>
        </w:rPr>
        <w:t>业务培训，不断</w:t>
      </w:r>
      <w:r>
        <w:rPr>
          <w:rFonts w:hint="eastAsia" w:ascii="Times New Roman" w:hAnsi="Times New Roman" w:eastAsia="仿宋_GB2312"/>
          <w:sz w:val="32"/>
          <w:szCs w:val="32"/>
          <w:highlight w:val="none"/>
          <w:lang w:val="en-US" w:eastAsia="zh-CN"/>
        </w:rPr>
        <w:t>提升本单位</w:t>
      </w:r>
      <w:r>
        <w:rPr>
          <w:rFonts w:hint="eastAsia" w:ascii="Times New Roman" w:hAnsi="Times New Roman" w:eastAsia="仿宋_GB2312"/>
          <w:sz w:val="32"/>
          <w:szCs w:val="32"/>
          <w:highlight w:val="none"/>
        </w:rPr>
        <w:t>工作人员</w:t>
      </w:r>
      <w:r>
        <w:rPr>
          <w:rFonts w:hint="eastAsia" w:ascii="Times New Roman" w:hAnsi="Times New Roman" w:eastAsia="仿宋_GB2312"/>
          <w:sz w:val="32"/>
          <w:szCs w:val="32"/>
          <w:highlight w:val="none"/>
          <w:lang w:val="en-US" w:eastAsia="zh-CN"/>
        </w:rPr>
        <w:t>政务公开工作能力</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进一步提高政府信息公开工作质量和水平</w:t>
      </w:r>
      <w:r>
        <w:rPr>
          <w:rFonts w:hint="eastAsia" w:ascii="Times New Roman" w:hAnsi="Times New Roman" w:eastAsia="仿宋_GB2312"/>
          <w:sz w:val="32"/>
          <w:szCs w:val="32"/>
          <w:highlight w:val="none"/>
        </w:rPr>
        <w:t>。</w:t>
      </w:r>
    </w:p>
    <w:p>
      <w:pPr>
        <w:ind w:firstLine="640" w:firstLineChars="200"/>
        <w:jc w:val="both"/>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1.收取信息处理费情况方面。本年度政府信息公开申请未达到《政府信息公开信息处理费管理办法》（国办函〔2020〕109号）所规定的信息处理费收费标准，故未收取信息处理费。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2.落实上级年度政务公开工作要点情况。</w:t>
      </w:r>
      <w:r>
        <w:rPr>
          <w:rFonts w:hint="eastAsia" w:ascii="Times New Roman" w:hAnsi="Times New Roman" w:eastAsia="仿宋_GB2312"/>
          <w:sz w:val="32"/>
          <w:szCs w:val="32"/>
          <w:highlight w:val="none"/>
        </w:rPr>
        <w:t>对照</w:t>
      </w:r>
      <w:r>
        <w:rPr>
          <w:rFonts w:hint="eastAsia" w:ascii="Times New Roman" w:hAnsi="Times New Roman" w:eastAsia="仿宋_GB2312"/>
          <w:sz w:val="32"/>
          <w:szCs w:val="32"/>
          <w:highlight w:val="none"/>
          <w:lang w:val="en-US" w:eastAsia="zh-CN"/>
        </w:rPr>
        <w:t>市、区</w:t>
      </w: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w:t>
      </w:r>
      <w:r>
        <w:rPr>
          <w:rFonts w:hint="eastAsia" w:ascii="Times New Roman" w:hAnsi="Times New Roman" w:eastAsia="仿宋_GB2312"/>
          <w:sz w:val="32"/>
          <w:szCs w:val="32"/>
          <w:highlight w:val="none"/>
          <w:lang w:val="en-US" w:eastAsia="zh-CN"/>
        </w:rPr>
        <w:t>度</w:t>
      </w:r>
      <w:r>
        <w:rPr>
          <w:rFonts w:hint="eastAsia" w:ascii="Times New Roman" w:hAnsi="Times New Roman" w:eastAsia="仿宋_GB2312"/>
          <w:sz w:val="32"/>
          <w:szCs w:val="32"/>
          <w:highlight w:val="none"/>
        </w:rPr>
        <w:t>政务公开政务公开工作要点，</w:t>
      </w:r>
      <w:r>
        <w:rPr>
          <w:rFonts w:hint="eastAsia" w:ascii="Times New Roman" w:hAnsi="Times New Roman" w:eastAsia="仿宋_GB2312"/>
          <w:sz w:val="32"/>
          <w:szCs w:val="32"/>
          <w:lang w:val="en-US" w:eastAsia="zh-CN"/>
        </w:rPr>
        <w:t>制定薛城区科技局2023年政务公开工作计划</w:t>
      </w:r>
      <w:r>
        <w:rPr>
          <w:rFonts w:hint="eastAsia" w:ascii="Times New Roman" w:hAnsi="Times New Roman" w:eastAsia="仿宋_GB2312"/>
          <w:sz w:val="32"/>
          <w:szCs w:val="32"/>
        </w:rPr>
        <w:t>，围绕重点领域信息公开、政策发布解读与回应、政民互动、基层政务公开标准化规范化建设和工作保障和落实逐项明确责任主体和完成时限。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highlight w:val="yellow"/>
        </w:rPr>
      </w:pPr>
      <w:r>
        <w:rPr>
          <w:rFonts w:hint="eastAsia" w:ascii="Times New Roman" w:hAnsi="Times New Roman" w:eastAsia="仿宋_GB2312"/>
          <w:sz w:val="32"/>
          <w:szCs w:val="32"/>
        </w:rPr>
        <w:t>3.人大代表建议和政协提案办理情况方面。</w:t>
      </w:r>
      <w:r>
        <w:rPr>
          <w:rFonts w:hint="eastAsia" w:ascii="Times New Roman" w:hAnsi="Times New Roman" w:eastAsia="仿宋_GB2312" w:cs="仿宋_GB2312"/>
          <w:i w:val="0"/>
          <w:iCs w:val="0"/>
          <w:caps w:val="0"/>
          <w:color w:val="000000"/>
          <w:spacing w:val="0"/>
          <w:sz w:val="32"/>
          <w:szCs w:val="32"/>
        </w:rPr>
        <w:t>2023</w:t>
      </w:r>
      <w:r>
        <w:rPr>
          <w:rFonts w:hint="eastAsia" w:ascii="Times New Roman" w:hAnsi="Times New Roman" w:eastAsia="仿宋_GB2312"/>
          <w:sz w:val="32"/>
          <w:szCs w:val="32"/>
        </w:rPr>
        <w:t>年度，薛城区科技局未收到提案。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4.开展政务公开创新方面</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5.本单位政府信息公开工作年度报告数据统计需要说明的事项：无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6.其他有关文件专门要求通过政府信息公开工作年度报告予以报告的事项：无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7.本年度报告的电子版可以在“薛城区政府门户网站”（http://www.xuecheng.gov.cn/zwgk/xxgknb/2023xxgknb/</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下载。如对本报告有疑问，可与薛城区</w:t>
      </w:r>
      <w:r>
        <w:rPr>
          <w:rFonts w:hint="eastAsia" w:ascii="Times New Roman" w:hAnsi="Times New Roman" w:eastAsia="仿宋_GB2312"/>
          <w:sz w:val="32"/>
          <w:szCs w:val="32"/>
          <w:lang w:val="en-US" w:eastAsia="zh-CN"/>
        </w:rPr>
        <w:t>科学技术局</w:t>
      </w:r>
      <w:r>
        <w:rPr>
          <w:rFonts w:hint="eastAsia" w:ascii="Times New Roman" w:hAnsi="Times New Roman" w:eastAsia="仿宋_GB2312"/>
          <w:sz w:val="32"/>
          <w:szCs w:val="32"/>
        </w:rPr>
        <w:t>办公室联系</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地址:枣庄市薛城区晟鸿大厦</w:t>
      </w:r>
      <w:r>
        <w:rPr>
          <w:rFonts w:hint="eastAsia" w:ascii="Times New Roman" w:hAnsi="Times New Roman" w:eastAsia="仿宋_GB2312"/>
          <w:sz w:val="32"/>
          <w:szCs w:val="32"/>
          <w:lang w:val="en-US" w:eastAsia="zh-CN"/>
        </w:rPr>
        <w:t>5085</w:t>
      </w:r>
      <w:r>
        <w:rPr>
          <w:rFonts w:hint="eastAsia" w:ascii="Times New Roman" w:hAnsi="Times New Roman" w:eastAsia="仿宋_GB2312"/>
          <w:sz w:val="32"/>
          <w:szCs w:val="32"/>
        </w:rPr>
        <w:t>室，邮编：277000 ，电话：0632—</w:t>
      </w:r>
      <w:r>
        <w:rPr>
          <w:rFonts w:hint="eastAsia" w:ascii="Times New Roman" w:hAnsi="Times New Roman" w:eastAsia="仿宋_GB2312"/>
          <w:sz w:val="32"/>
          <w:szCs w:val="32"/>
          <w:lang w:val="en-US" w:eastAsia="zh-CN"/>
        </w:rPr>
        <w:t>4412432</w:t>
      </w:r>
      <w:r>
        <w:rPr>
          <w:rFonts w:hint="eastAsia" w:ascii="Times New Roman" w:hAnsi="Times New Roman" w:eastAsia="仿宋_GB2312"/>
          <w:sz w:val="32"/>
          <w:szCs w:val="32"/>
        </w:rPr>
        <w:t>，电子邮箱：</w:t>
      </w:r>
      <w:r>
        <w:rPr>
          <w:rStyle w:val="7"/>
          <w:rFonts w:hint="eastAsia" w:ascii="Times New Roman" w:hAnsi="Times New Roman" w:eastAsia="仿宋_GB2312"/>
          <w:color w:val="auto"/>
          <w:sz w:val="32"/>
          <w:szCs w:val="32"/>
          <w:lang w:val="en-US" w:eastAsia="zh-CN"/>
        </w:rPr>
        <w:t>xcqkjj@zz.shandong.cn</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薛城区</w:t>
      </w:r>
      <w:r>
        <w:rPr>
          <w:rFonts w:hint="eastAsia" w:ascii="Times New Roman" w:hAnsi="Times New Roman" w:eastAsia="仿宋_GB2312"/>
          <w:sz w:val="32"/>
          <w:szCs w:val="32"/>
          <w:lang w:val="en-US" w:eastAsia="zh-CN"/>
        </w:rPr>
        <w:t>科学技术</w:t>
      </w:r>
      <w:r>
        <w:rPr>
          <w:rFonts w:hint="eastAsia" w:ascii="Times New Roman" w:hAnsi="Times New Roman" w:eastAsia="仿宋_GB2312"/>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sz w:val="32"/>
          <w:szCs w:val="32"/>
          <w:lang w:val="en-US" w:eastAsia="zh-CN"/>
        </w:rPr>
        <w:sectPr>
          <w:pgSz w:w="11906" w:h="16838"/>
          <w:pgMar w:top="1440" w:right="1474" w:bottom="1440" w:left="1588" w:header="851" w:footer="992" w:gutter="0"/>
          <w:pgNumType w:fmt="numberInDash"/>
          <w:cols w:space="425" w:num="1"/>
          <w:docGrid w:type="lines" w:linePitch="312" w:charSpace="0"/>
        </w:sectPr>
      </w:pPr>
      <w:r>
        <w:rPr>
          <w:rFonts w:hint="eastAsia" w:ascii="Times New Roman" w:hAnsi="Times New Roman" w:eastAsia="仿宋_GB2312"/>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sz w:val="32"/>
          <w:szCs w:val="32"/>
        </w:rPr>
        <w:t>年1月</w:t>
      </w:r>
      <w:r>
        <w:rPr>
          <w:rFonts w:hint="eastAsia" w:ascii="Times New Roman" w:hAnsi="Times New Roman" w:eastAsia="仿宋_GB2312"/>
          <w:sz w:val="32"/>
          <w:szCs w:val="32"/>
          <w:lang w:val="en-US" w:eastAsia="zh-CN"/>
        </w:rPr>
        <w:t>19日</w:t>
      </w:r>
    </w:p>
    <w:p>
      <w:bookmarkStart w:id="10" w:name="_GoBack"/>
      <w:bookmarkEnd w:id="1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7441D"/>
    <w:multiLevelType w:val="singleLevel"/>
    <w:tmpl w:val="D93744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MmUwYTI0NmM3Y2ZhMTBiZDExZGQzMTI1Mzg3ZWYifQ=="/>
  </w:docVars>
  <w:rsids>
    <w:rsidRoot w:val="0FFE1FCC"/>
    <w:rsid w:val="00BE32F3"/>
    <w:rsid w:val="01325A8F"/>
    <w:rsid w:val="019D73AC"/>
    <w:rsid w:val="01E70628"/>
    <w:rsid w:val="02203B3A"/>
    <w:rsid w:val="030376E3"/>
    <w:rsid w:val="046A5E8A"/>
    <w:rsid w:val="05155E5C"/>
    <w:rsid w:val="058903E5"/>
    <w:rsid w:val="069D633F"/>
    <w:rsid w:val="06A66D03"/>
    <w:rsid w:val="06D7510F"/>
    <w:rsid w:val="075274CF"/>
    <w:rsid w:val="08A10413"/>
    <w:rsid w:val="08C245E1"/>
    <w:rsid w:val="091837BC"/>
    <w:rsid w:val="094D257E"/>
    <w:rsid w:val="09664528"/>
    <w:rsid w:val="099C4956"/>
    <w:rsid w:val="09D21BBD"/>
    <w:rsid w:val="0A522CFE"/>
    <w:rsid w:val="0A6F38B0"/>
    <w:rsid w:val="0B73117E"/>
    <w:rsid w:val="0CC2532A"/>
    <w:rsid w:val="0D32712B"/>
    <w:rsid w:val="0D7C2A37"/>
    <w:rsid w:val="0D8B0A01"/>
    <w:rsid w:val="0DCE6B40"/>
    <w:rsid w:val="0DE63897"/>
    <w:rsid w:val="0E053A26"/>
    <w:rsid w:val="0E727773"/>
    <w:rsid w:val="0E9B2EC6"/>
    <w:rsid w:val="0FA1645B"/>
    <w:rsid w:val="0FEC0CD3"/>
    <w:rsid w:val="0FFE1FCC"/>
    <w:rsid w:val="109163A3"/>
    <w:rsid w:val="1193131B"/>
    <w:rsid w:val="11E20E0C"/>
    <w:rsid w:val="13426006"/>
    <w:rsid w:val="1347361C"/>
    <w:rsid w:val="1380268A"/>
    <w:rsid w:val="1413222F"/>
    <w:rsid w:val="141334FE"/>
    <w:rsid w:val="141D612B"/>
    <w:rsid w:val="143D23E1"/>
    <w:rsid w:val="14531FF7"/>
    <w:rsid w:val="14A82FD5"/>
    <w:rsid w:val="172B0B5F"/>
    <w:rsid w:val="176B78E8"/>
    <w:rsid w:val="17A513B0"/>
    <w:rsid w:val="1817395C"/>
    <w:rsid w:val="182E7A7E"/>
    <w:rsid w:val="183D3240"/>
    <w:rsid w:val="18B53F0C"/>
    <w:rsid w:val="18D21BDA"/>
    <w:rsid w:val="18F03E0E"/>
    <w:rsid w:val="19946E8F"/>
    <w:rsid w:val="19CF7BBD"/>
    <w:rsid w:val="1A381F10"/>
    <w:rsid w:val="1A502576"/>
    <w:rsid w:val="1A8E38DF"/>
    <w:rsid w:val="1ADD03C2"/>
    <w:rsid w:val="1B2262BB"/>
    <w:rsid w:val="1B522281"/>
    <w:rsid w:val="1BCA6B98"/>
    <w:rsid w:val="1BE139ED"/>
    <w:rsid w:val="1C2624E4"/>
    <w:rsid w:val="1D4B2BE2"/>
    <w:rsid w:val="1E071B1C"/>
    <w:rsid w:val="1E0A7720"/>
    <w:rsid w:val="1E5866DD"/>
    <w:rsid w:val="1EC27FFB"/>
    <w:rsid w:val="1EC975DB"/>
    <w:rsid w:val="1F0C74C8"/>
    <w:rsid w:val="1F1620F4"/>
    <w:rsid w:val="1F642B8C"/>
    <w:rsid w:val="1F770DE5"/>
    <w:rsid w:val="1F947509"/>
    <w:rsid w:val="1FF95C9E"/>
    <w:rsid w:val="200A1C59"/>
    <w:rsid w:val="203E55D3"/>
    <w:rsid w:val="20784E15"/>
    <w:rsid w:val="208E7C49"/>
    <w:rsid w:val="21076199"/>
    <w:rsid w:val="210B746D"/>
    <w:rsid w:val="21957C48"/>
    <w:rsid w:val="225D431F"/>
    <w:rsid w:val="22DB78DD"/>
    <w:rsid w:val="231A6985"/>
    <w:rsid w:val="236B046C"/>
    <w:rsid w:val="23FF2421"/>
    <w:rsid w:val="246851A0"/>
    <w:rsid w:val="256E2C8A"/>
    <w:rsid w:val="26155BA9"/>
    <w:rsid w:val="26B772D7"/>
    <w:rsid w:val="27216E8D"/>
    <w:rsid w:val="283C2BCC"/>
    <w:rsid w:val="28663C8C"/>
    <w:rsid w:val="28ED5519"/>
    <w:rsid w:val="29093161"/>
    <w:rsid w:val="294F2DD3"/>
    <w:rsid w:val="2A202B14"/>
    <w:rsid w:val="2A581813"/>
    <w:rsid w:val="2B4F58E9"/>
    <w:rsid w:val="2BA271EA"/>
    <w:rsid w:val="2C8F735A"/>
    <w:rsid w:val="2CDA64B9"/>
    <w:rsid w:val="2CFB18D4"/>
    <w:rsid w:val="2DE53D06"/>
    <w:rsid w:val="2EB150E3"/>
    <w:rsid w:val="2EF60AC6"/>
    <w:rsid w:val="2FEA115F"/>
    <w:rsid w:val="2FFA4BC5"/>
    <w:rsid w:val="30403475"/>
    <w:rsid w:val="30E81B43"/>
    <w:rsid w:val="31AC4978"/>
    <w:rsid w:val="334868C9"/>
    <w:rsid w:val="339C7E60"/>
    <w:rsid w:val="34365A93"/>
    <w:rsid w:val="34425A0E"/>
    <w:rsid w:val="34AA710F"/>
    <w:rsid w:val="355D5FF2"/>
    <w:rsid w:val="36843CB8"/>
    <w:rsid w:val="368A4EA8"/>
    <w:rsid w:val="36C00E6C"/>
    <w:rsid w:val="36F34D9D"/>
    <w:rsid w:val="379C5435"/>
    <w:rsid w:val="38066D52"/>
    <w:rsid w:val="383B0C52"/>
    <w:rsid w:val="388C7258"/>
    <w:rsid w:val="3A2F619E"/>
    <w:rsid w:val="3A3556CD"/>
    <w:rsid w:val="3A4B6C9E"/>
    <w:rsid w:val="3A606BEE"/>
    <w:rsid w:val="3B7364AD"/>
    <w:rsid w:val="3C70497F"/>
    <w:rsid w:val="3D960B78"/>
    <w:rsid w:val="3DF8538F"/>
    <w:rsid w:val="3ECA0847"/>
    <w:rsid w:val="3ED939FC"/>
    <w:rsid w:val="40A37834"/>
    <w:rsid w:val="40EF4827"/>
    <w:rsid w:val="415F5BF8"/>
    <w:rsid w:val="41874A60"/>
    <w:rsid w:val="42B06238"/>
    <w:rsid w:val="434A3F97"/>
    <w:rsid w:val="45884425"/>
    <w:rsid w:val="46696E2A"/>
    <w:rsid w:val="46ED1809"/>
    <w:rsid w:val="47290367"/>
    <w:rsid w:val="47426E69"/>
    <w:rsid w:val="475F022D"/>
    <w:rsid w:val="482633E0"/>
    <w:rsid w:val="487D7A6B"/>
    <w:rsid w:val="489B5295"/>
    <w:rsid w:val="489F2FD7"/>
    <w:rsid w:val="491735F5"/>
    <w:rsid w:val="49C03205"/>
    <w:rsid w:val="4A0D21C2"/>
    <w:rsid w:val="4AA7736D"/>
    <w:rsid w:val="4B1A05AF"/>
    <w:rsid w:val="4B4759C0"/>
    <w:rsid w:val="4C003D8D"/>
    <w:rsid w:val="4D0A6066"/>
    <w:rsid w:val="4D9E1AAF"/>
    <w:rsid w:val="4DA16EA9"/>
    <w:rsid w:val="4DB52955"/>
    <w:rsid w:val="4DCA6AD9"/>
    <w:rsid w:val="4DCF3845"/>
    <w:rsid w:val="4E4D467A"/>
    <w:rsid w:val="4F2B3CFB"/>
    <w:rsid w:val="507E34D2"/>
    <w:rsid w:val="50EA6DB9"/>
    <w:rsid w:val="50F934A0"/>
    <w:rsid w:val="518C60C3"/>
    <w:rsid w:val="51A52CE0"/>
    <w:rsid w:val="52BC58BA"/>
    <w:rsid w:val="532540D9"/>
    <w:rsid w:val="53823A14"/>
    <w:rsid w:val="53AC6A1E"/>
    <w:rsid w:val="54316AAD"/>
    <w:rsid w:val="554B212D"/>
    <w:rsid w:val="560E1FBD"/>
    <w:rsid w:val="56A83FEE"/>
    <w:rsid w:val="575751B7"/>
    <w:rsid w:val="583E5C4A"/>
    <w:rsid w:val="59016BF2"/>
    <w:rsid w:val="59B60181"/>
    <w:rsid w:val="5A0E6087"/>
    <w:rsid w:val="5AF140F6"/>
    <w:rsid w:val="5B084092"/>
    <w:rsid w:val="5B687259"/>
    <w:rsid w:val="5BA76AF9"/>
    <w:rsid w:val="5BBB0D92"/>
    <w:rsid w:val="5CE86398"/>
    <w:rsid w:val="5E0759EE"/>
    <w:rsid w:val="5EAE7F91"/>
    <w:rsid w:val="5EDA7B26"/>
    <w:rsid w:val="5EF94180"/>
    <w:rsid w:val="5F04585D"/>
    <w:rsid w:val="600A5DD1"/>
    <w:rsid w:val="6033354E"/>
    <w:rsid w:val="609F65A9"/>
    <w:rsid w:val="61946FF9"/>
    <w:rsid w:val="62361E5F"/>
    <w:rsid w:val="649E3CEB"/>
    <w:rsid w:val="66326DE1"/>
    <w:rsid w:val="664F5278"/>
    <w:rsid w:val="670562A3"/>
    <w:rsid w:val="675E637E"/>
    <w:rsid w:val="679F4002"/>
    <w:rsid w:val="67EA7709"/>
    <w:rsid w:val="68126ECA"/>
    <w:rsid w:val="68184B53"/>
    <w:rsid w:val="681F762B"/>
    <w:rsid w:val="68C77042"/>
    <w:rsid w:val="69180775"/>
    <w:rsid w:val="6A0825A8"/>
    <w:rsid w:val="6A1D1B56"/>
    <w:rsid w:val="6A3B3D8A"/>
    <w:rsid w:val="6C1D7BEB"/>
    <w:rsid w:val="6C975BF0"/>
    <w:rsid w:val="6CD3474E"/>
    <w:rsid w:val="6D154D66"/>
    <w:rsid w:val="6DDD7632"/>
    <w:rsid w:val="6F071B2B"/>
    <w:rsid w:val="6F292C56"/>
    <w:rsid w:val="6F5002D8"/>
    <w:rsid w:val="6F7246F2"/>
    <w:rsid w:val="701A3F44"/>
    <w:rsid w:val="703D085C"/>
    <w:rsid w:val="717C53B4"/>
    <w:rsid w:val="71FD682E"/>
    <w:rsid w:val="72A2709C"/>
    <w:rsid w:val="72FC49FE"/>
    <w:rsid w:val="74B03CF2"/>
    <w:rsid w:val="74CB0B7D"/>
    <w:rsid w:val="74DB0643"/>
    <w:rsid w:val="779D4E03"/>
    <w:rsid w:val="78484242"/>
    <w:rsid w:val="78542BE7"/>
    <w:rsid w:val="7B43470D"/>
    <w:rsid w:val="7B48067D"/>
    <w:rsid w:val="7B4F3082"/>
    <w:rsid w:val="7B783090"/>
    <w:rsid w:val="7B9F23CB"/>
    <w:rsid w:val="7BCD555E"/>
    <w:rsid w:val="7C3D2B1E"/>
    <w:rsid w:val="7C4753CC"/>
    <w:rsid w:val="7C604753"/>
    <w:rsid w:val="7CCD740C"/>
    <w:rsid w:val="7D2D3A06"/>
    <w:rsid w:val="7D511DEB"/>
    <w:rsid w:val="7DB163E5"/>
    <w:rsid w:val="7E1A2762"/>
    <w:rsid w:val="7E6671D0"/>
    <w:rsid w:val="7E8B6C36"/>
    <w:rsid w:val="7F5E4CCE"/>
    <w:rsid w:val="7F9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2761</Words>
  <Characters>3014</Characters>
  <Lines>0</Lines>
  <Paragraphs>0</Paragraphs>
  <TotalTime>13</TotalTime>
  <ScaleCrop>false</ScaleCrop>
  <LinksUpToDate>false</LinksUpToDate>
  <CharactersWithSpaces>3031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2023-02-02T07:17:00Z</dcterms:created>
  <dc:creator>还会更好</dc:creator>
  <cp:lastModifiedBy>admin</cp:lastModifiedBy>
  <cp:lastPrinted>2024-01-12T03:05:00Z</cp:lastPrinted>
  <dcterms:modified xsi:type="dcterms:W3CDTF">2024-01-19T06:48:10Z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41A9B0D264D14BA8A86ABD5DBC0CCC18_13</vt:lpwstr>
  </property>
</Properties>
</file>