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薛城区统计局202</w:t>
      </w: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kern w:val="0"/>
          <w:sz w:val="44"/>
          <w:szCs w:val="44"/>
          <w14:textFill>
            <w14:solidFill>
              <w14:schemeClr w14:val="tx1"/>
            </w14:solidFill>
          </w14:textFill>
        </w:rPr>
        <w:t>年政府信息公开</w:t>
      </w: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工作年度报告</w:t>
      </w: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根据《中华人民共和国政府信息公开条例》（以下简称《条例》）和《</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人民政府办公室关于做好202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年政府信息公开工作年度报告编制发布工作的通知》的要求，我局编制了《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统计局202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年政府信息公开工作年度报告》。全文包括总体情况、主动公开政府信息情况、收到和处理政府信息公开申请情况、政府信息公开行政复议</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行政诉讼情况、存在的问题及改进情况、其他需要报告的事项六个部分。报告中所列数据的统计时限自2024年1月1日至2024年12月 31 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本年度报告的电子版可以在“薛城区政府门户网站( http://www.xuecheng.gov.cn/zwgk/xxgknb/202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xxgknb/)下载。如对本报告有疑问，可与薛城区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统计局</w:t>
      </w:r>
      <w:r>
        <w:rPr>
          <w:rFonts w:hint="default" w:ascii="Times New Roman" w:hAnsi="Times New Roman" w:eastAsia="仿宋_GB2312" w:cs="Times New Roman"/>
          <w:color w:val="000000" w:themeColor="text1"/>
          <w:sz w:val="32"/>
          <w:szCs w:val="32"/>
          <w14:textFill>
            <w14:solidFill>
              <w14:schemeClr w14:val="tx1"/>
            </w14:solidFill>
          </w14:textFill>
        </w:rPr>
        <w:t>办公室联系(地址:枣庄市薛城区晟鸿大厦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3035</w:t>
      </w:r>
      <w:r>
        <w:rPr>
          <w:rFonts w:hint="default" w:ascii="Times New Roman" w:hAnsi="Times New Roman" w:eastAsia="仿宋_GB2312" w:cs="Times New Roman"/>
          <w:color w:val="000000" w:themeColor="text1"/>
          <w:sz w:val="32"/>
          <w:szCs w:val="32"/>
          <w14:textFill>
            <w14:solidFill>
              <w14:schemeClr w14:val="tx1"/>
            </w14:solidFill>
          </w14:textFill>
        </w:rPr>
        <w:t>室，邮编：2770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99</w:t>
      </w:r>
      <w:r>
        <w:rPr>
          <w:rFonts w:hint="default" w:ascii="Times New Roman" w:hAnsi="Times New Roman" w:eastAsia="仿宋_GB2312" w:cs="Times New Roman"/>
          <w:color w:val="000000" w:themeColor="text1"/>
          <w:sz w:val="32"/>
          <w:szCs w:val="32"/>
          <w14:textFill>
            <w14:solidFill>
              <w14:schemeClr w14:val="tx1"/>
            </w14:solidFill>
          </w14:textFill>
        </w:rPr>
        <w:t>，电话：0632—4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412438</w:t>
      </w:r>
      <w:r>
        <w:rPr>
          <w:rFonts w:hint="default" w:ascii="Times New Roman" w:hAnsi="Times New Roman" w:eastAsia="仿宋_GB2312" w:cs="Times New Roman"/>
          <w:color w:val="000000" w:themeColor="text1"/>
          <w:sz w:val="32"/>
          <w:szCs w:val="32"/>
          <w14:textFill>
            <w14:solidFill>
              <w14:schemeClr w14:val="tx1"/>
            </w14:solidFill>
          </w14:textFill>
        </w:rPr>
        <w:t>，电子邮箱：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instrText xml:space="preserve"> HYPERLINK "mailto:xcqtjjbgs@zz.shandong.cn)。" </w:instrTex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separate"/>
      </w:r>
      <w:r>
        <w:rPr>
          <w:rStyle w:val="8"/>
          <w:rFonts w:hint="default" w:ascii="Times New Roman" w:hAnsi="Times New Roman" w:eastAsia="仿宋_GB2312" w:cs="Times New Roman"/>
          <w:color w:val="000000" w:themeColor="text1"/>
          <w:sz w:val="32"/>
          <w:szCs w:val="32"/>
          <w:lang w:val="en-US" w:eastAsia="zh-CN"/>
          <w14:textFill>
            <w14:solidFill>
              <w14:schemeClr w14:val="tx1"/>
            </w14:solidFill>
          </w14:textFill>
        </w:rPr>
        <w:t>xcqtjjbgs</w:t>
      </w:r>
      <w:r>
        <w:rPr>
          <w:rStyle w:val="8"/>
          <w:rFonts w:hint="default" w:ascii="Times New Roman" w:hAnsi="Times New Roman" w:eastAsia="仿宋_GB2312" w:cs="Times New Roman"/>
          <w:color w:val="000000" w:themeColor="text1"/>
          <w:sz w:val="32"/>
          <w:szCs w:val="32"/>
          <w14:textFill>
            <w14:solidFill>
              <w14:schemeClr w14:val="tx1"/>
            </w14:solidFill>
          </w14:textFill>
        </w:rPr>
        <w:t>@zz.shandong.cn)。</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一、总体情况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统计局按照《中华人民共和国政府信息公开条例》的有关规定，认真贯彻落实</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政府</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信息公开工作要求，结合统计工作职能，通过门户网站、各类出版物等方式公开发布统计信息，进一步做好统计领域政府信息公开工作。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（一）主动公开情况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统计局主动公开政府信息共</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44</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条，其中公开</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统计公报</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1条、统计</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分析11</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条，部门动态</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32</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统计局统计信息、部门动态以及各项主动公开信息均在公开时限内及时发布更新。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（二）依申请公开情况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w:t>
      </w:r>
      <w:r>
        <w:rPr>
          <w:rFonts w:hint="default" w:ascii="Times New Roman" w:hAnsi="Times New Roman" w:eastAsia="仿宋_GB2312" w:cs="Times New Roman"/>
          <w:color w:val="000000" w:themeColor="text1"/>
          <w:kern w:val="0"/>
          <w:sz w:val="32"/>
          <w:szCs w:val="32"/>
          <w14:textFill>
            <w14:solidFill>
              <w14:schemeClr w14:val="tx1"/>
            </w14:solidFill>
          </w14:textFill>
        </w:rPr>
        <w:t>共收到依申请公开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件，公开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件，不予公开0件，因政府信息依申请公开引起行政复议0件，行政诉讼0件。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楷体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（三）政府信息管理</w:t>
      </w:r>
      <w:r>
        <w:rPr>
          <w:rFonts w:hint="eastAsia" w:ascii="Times New Roman" w:hAnsi="Times New Roman" w:eastAsia="楷体_GB2312" w:cs="Times New Roman"/>
          <w:color w:val="000000" w:themeColor="text1"/>
          <w:kern w:val="0"/>
          <w:sz w:val="32"/>
          <w:szCs w:val="32"/>
          <w:lang w:eastAsia="zh-CN"/>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统计局</w:t>
      </w:r>
      <w:r>
        <w:rPr>
          <w:rFonts w:hint="default" w:ascii="Times New Roman" w:hAnsi="Times New Roman" w:eastAsia="仿宋_GB2312" w:cs="Times New Roman"/>
          <w:color w:val="000000" w:themeColor="text1"/>
          <w:kern w:val="0"/>
          <w:sz w:val="32"/>
          <w:szCs w:val="32"/>
          <w14:textFill>
            <w14:solidFill>
              <w14:schemeClr w14:val="tx1"/>
            </w14:solidFill>
          </w14:textFill>
        </w:rPr>
        <w:t>由专人负责政务信息公开网站的发布和更新，保持文件上传的及时性和准确性，定期向领导汇报文件信息的上传情况，做到多人专项，将工作落实到位。针对泄露敏感个人信息情况及时开展排查。同时及时对政府反馈的无效链接、错别字等情况进行整改，保障信息文件的质量。实时关注网络联系群，做到有问题立即响应。</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楷体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（四）平台建设</w:t>
      </w:r>
      <w:r>
        <w:rPr>
          <w:rFonts w:hint="eastAsia" w:ascii="Times New Roman" w:hAnsi="Times New Roman" w:eastAsia="楷体_GB2312" w:cs="Times New Roman"/>
          <w:color w:val="000000" w:themeColor="text1"/>
          <w:kern w:val="0"/>
          <w:sz w:val="32"/>
          <w:szCs w:val="32"/>
          <w:lang w:eastAsia="zh-CN"/>
          <w14:textFill>
            <w14:solidFill>
              <w14:schemeClr w14:val="tx1"/>
            </w14:solidFill>
          </w14:textFill>
        </w:rPr>
        <w:t>情况</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不</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断完善主动公开、依申请公开等平台建设，进一步规范信息发布，完善栏目设置，增加更新频率，丰富信息内容，提高信息质量，不断提高政府信息公开平台建设水平。</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bidi="ar"/>
          <w14:textFill>
            <w14:solidFill>
              <w14:schemeClr w14:val="tx1"/>
            </w14:solidFill>
          </w14:textFill>
        </w:rPr>
        <w:t>监督保障情况</w:t>
      </w:r>
      <w:r>
        <w:rPr>
          <w:rFonts w:hint="eastAsia" w:ascii="Times New Roman" w:hAnsi="Times New Roman" w:eastAsia="楷体_GB2312" w:cs="Times New Roman"/>
          <w:color w:val="000000" w:themeColor="text1"/>
          <w:sz w:val="32"/>
          <w:szCs w:val="32"/>
          <w:lang w:val="en-US" w:eastAsia="zh-CN" w:bidi="ar"/>
          <w14:textFill>
            <w14:solidFill>
              <w14:schemeClr w14:val="tx1"/>
            </w14:solidFill>
          </w14:textFill>
        </w:rPr>
        <w:t xml:space="preserve"> </w:t>
      </w:r>
    </w:p>
    <w:p>
      <w:pPr>
        <w:keepNext w:val="0"/>
        <w:keepLines w:val="0"/>
        <w:pageBreakBefore w:val="0"/>
        <w:widowControl/>
        <w:numPr>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一是按照政府信息公开条例和保密法律法规的规定，制定了相关的信息审核发布制度，全力确保信息内容和公开的程序</w:t>
      </w:r>
      <w:r>
        <w:rPr>
          <w:rFonts w:hint="eastAsia" w:ascii="Times New Roman" w:hAnsi="Times New Roman" w:eastAsia="楷体_GB2312" w:cs="Times New Roman"/>
          <w:color w:val="000000" w:themeColor="text1"/>
          <w:sz w:val="32"/>
          <w:szCs w:val="32"/>
          <w:lang w:val="en-US" w:eastAsia="zh-CN" w:bidi="ar"/>
          <w14:textFill>
            <w14:solidFill>
              <w14:schemeClr w14:val="tx1"/>
            </w14:solidFill>
          </w14:textFill>
        </w:rPr>
        <w:t xml:space="preserve">                                            </w:t>
      </w:r>
    </w:p>
    <w:p>
      <w:pPr>
        <w:keepNext w:val="0"/>
        <w:keepLines w:val="0"/>
        <w:pageBreakBefore w:val="0"/>
        <w:widowControl/>
        <w:numPr>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合法合规。</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二是根据《中华人民共和国统计法实施条例》等有关法律法规，我局在统计信息管理工作中，严格依法依规办事，为部门提供及时、准确、全面的统计数据服务。</w:t>
      </w:r>
    </w:p>
    <w:p>
      <w:pPr>
        <w:keepNext w:val="0"/>
        <w:keepLines w:val="0"/>
        <w:pageBreakBefore w:val="0"/>
        <w:widowControl/>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主动公开政府信息情况</w:t>
      </w:r>
    </w:p>
    <w:tbl>
      <w:tblPr>
        <w:tblStyle w:val="6"/>
        <w:tblW w:w="8246" w:type="dxa"/>
        <w:jc w:val="center"/>
        <w:tblLayout w:type="autofit"/>
        <w:tblCellMar>
          <w:top w:w="15" w:type="dxa"/>
          <w:left w:w="15" w:type="dxa"/>
          <w:bottom w:w="15" w:type="dxa"/>
          <w:right w:w="15" w:type="dxa"/>
        </w:tblCellMar>
      </w:tblPr>
      <w:tblGrid>
        <w:gridCol w:w="2107"/>
        <w:gridCol w:w="1863"/>
        <w:gridCol w:w="1863"/>
        <w:gridCol w:w="2413"/>
      </w:tblGrid>
      <w:tr>
        <w:tblPrEx>
          <w:tblCellMar>
            <w:top w:w="15" w:type="dxa"/>
            <w:left w:w="15" w:type="dxa"/>
            <w:bottom w:w="15" w:type="dxa"/>
            <w:right w:w="15" w:type="dxa"/>
          </w:tblCellMar>
        </w:tblPrEx>
        <w:trPr>
          <w:trHeight w:val="415" w:hRule="atLeast"/>
          <w:jc w:val="center"/>
        </w:trPr>
        <w:tc>
          <w:tcPr>
            <w:tcW w:w="8246"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第二十条第（一）项</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信息内容</w:t>
            </w:r>
          </w:p>
        </w:tc>
        <w:tc>
          <w:tcPr>
            <w:tcW w:w="1863"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本年制发件数</w:t>
            </w:r>
          </w:p>
        </w:tc>
        <w:tc>
          <w:tcPr>
            <w:tcW w:w="1863"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本年废止件数</w:t>
            </w:r>
          </w:p>
        </w:tc>
        <w:tc>
          <w:tcPr>
            <w:tcW w:w="2413"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现行有效件数</w:t>
            </w:r>
          </w:p>
        </w:tc>
      </w:tr>
      <w:tr>
        <w:tblPrEx>
          <w:tblCellMar>
            <w:top w:w="15" w:type="dxa"/>
            <w:left w:w="15" w:type="dxa"/>
            <w:bottom w:w="15" w:type="dxa"/>
            <w:right w:w="15" w:type="dxa"/>
          </w:tblCellMar>
        </w:tblPrEx>
        <w:trPr>
          <w:trHeight w:val="392"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规章</w:t>
            </w:r>
          </w:p>
        </w:tc>
        <w:tc>
          <w:tcPr>
            <w:tcW w:w="186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186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241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行政规范性文件</w:t>
            </w:r>
          </w:p>
        </w:tc>
        <w:tc>
          <w:tcPr>
            <w:tcW w:w="186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186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2413"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380" w:hRule="atLeast"/>
          <w:jc w:val="center"/>
        </w:trPr>
        <w:tc>
          <w:tcPr>
            <w:tcW w:w="8246"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第二十条第（五）项</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信息内容</w:t>
            </w:r>
          </w:p>
        </w:tc>
        <w:tc>
          <w:tcPr>
            <w:tcW w:w="6139"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本年处理决定数量</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行政许可</w:t>
            </w:r>
          </w:p>
        </w:tc>
        <w:tc>
          <w:tcPr>
            <w:tcW w:w="6139"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53" w:hRule="atLeast"/>
          <w:jc w:val="center"/>
        </w:trPr>
        <w:tc>
          <w:tcPr>
            <w:tcW w:w="8246"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第二十条第（六）项</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信息内容</w:t>
            </w:r>
          </w:p>
        </w:tc>
        <w:tc>
          <w:tcPr>
            <w:tcW w:w="6139" w:type="dxa"/>
            <w:gridSpan w:val="3"/>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本年处理决定数量</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行政处罚</w:t>
            </w:r>
          </w:p>
        </w:tc>
        <w:tc>
          <w:tcPr>
            <w:tcW w:w="6139"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行政强制</w:t>
            </w:r>
          </w:p>
        </w:tc>
        <w:tc>
          <w:tcPr>
            <w:tcW w:w="6139"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53" w:hRule="atLeast"/>
          <w:jc w:val="center"/>
        </w:trPr>
        <w:tc>
          <w:tcPr>
            <w:tcW w:w="8246"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第二十条第（八）项</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信息内容</w:t>
            </w:r>
          </w:p>
        </w:tc>
        <w:tc>
          <w:tcPr>
            <w:tcW w:w="6139"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本年收费金额（单位：万元）</w:t>
            </w:r>
          </w:p>
        </w:tc>
      </w:tr>
      <w:tr>
        <w:tblPrEx>
          <w:tblCellMar>
            <w:top w:w="15" w:type="dxa"/>
            <w:left w:w="15" w:type="dxa"/>
            <w:bottom w:w="15" w:type="dxa"/>
            <w:right w:w="15" w:type="dxa"/>
          </w:tblCellMar>
        </w:tblPrEx>
        <w:trPr>
          <w:trHeight w:val="253" w:hRule="atLeast"/>
          <w:jc w:val="center"/>
        </w:trPr>
        <w:tc>
          <w:tcPr>
            <w:tcW w:w="2107"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行政事业性收费</w:t>
            </w:r>
          </w:p>
        </w:tc>
        <w:tc>
          <w:tcPr>
            <w:tcW w:w="6139"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bl>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三、收到和处理政府信息公开申请情况</w:t>
      </w:r>
    </w:p>
    <w:tbl>
      <w:tblPr>
        <w:tblStyle w:val="6"/>
        <w:tblW w:w="8307" w:type="dxa"/>
        <w:jc w:val="center"/>
        <w:tblLayout w:type="autofit"/>
        <w:tblCellMar>
          <w:top w:w="15" w:type="dxa"/>
          <w:left w:w="15" w:type="dxa"/>
          <w:bottom w:w="15" w:type="dxa"/>
          <w:right w:w="15" w:type="dxa"/>
        </w:tblCellMar>
      </w:tblPr>
      <w:tblGrid>
        <w:gridCol w:w="1128"/>
        <w:gridCol w:w="1052"/>
        <w:gridCol w:w="2202"/>
        <w:gridCol w:w="470"/>
        <w:gridCol w:w="507"/>
        <w:gridCol w:w="488"/>
        <w:gridCol w:w="516"/>
        <w:gridCol w:w="507"/>
        <w:gridCol w:w="507"/>
        <w:gridCol w:w="930"/>
      </w:tblGrid>
      <w:tr>
        <w:tblPrEx>
          <w:tblCellMar>
            <w:top w:w="15" w:type="dxa"/>
            <w:left w:w="15" w:type="dxa"/>
            <w:bottom w:w="15" w:type="dxa"/>
            <w:right w:w="15" w:type="dxa"/>
          </w:tblCellMar>
        </w:tblPrEx>
        <w:trPr>
          <w:jc w:val="center"/>
        </w:trPr>
        <w:tc>
          <w:tcPr>
            <w:tcW w:w="4382" w:type="dxa"/>
            <w:gridSpan w:val="3"/>
            <w:vMerge w:val="restart"/>
            <w:tcBorders>
              <w:top w:val="single" w:color="auto" w:sz="4" w:space="0"/>
              <w:left w:val="single" w:color="auto" w:sz="4" w:space="0"/>
              <w:bottom w:val="outset"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（本列数据的勾稽关系为：第一项加第二项之和，等于第三项加第四项之和）</w:t>
            </w:r>
          </w:p>
        </w:tc>
        <w:tc>
          <w:tcPr>
            <w:tcW w:w="3925" w:type="dxa"/>
            <w:gridSpan w:val="7"/>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申请人情况</w:t>
            </w:r>
          </w:p>
        </w:tc>
      </w:tr>
      <w:tr>
        <w:tblPrEx>
          <w:tblCellMar>
            <w:top w:w="15" w:type="dxa"/>
            <w:left w:w="15" w:type="dxa"/>
            <w:bottom w:w="15" w:type="dxa"/>
            <w:right w:w="15" w:type="dxa"/>
          </w:tblCellMar>
        </w:tblPrEx>
        <w:trPr>
          <w:jc w:val="center"/>
        </w:trPr>
        <w:tc>
          <w:tcPr>
            <w:tcW w:w="4382" w:type="dxa"/>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70" w:type="dxa"/>
            <w:vMerge w:val="restart"/>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自然人</w:t>
            </w:r>
          </w:p>
        </w:tc>
        <w:tc>
          <w:tcPr>
            <w:tcW w:w="2525" w:type="dxa"/>
            <w:gridSpan w:val="5"/>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法人或其他组织</w:t>
            </w:r>
          </w:p>
        </w:tc>
        <w:tc>
          <w:tcPr>
            <w:tcW w:w="930"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总计</w:t>
            </w:r>
          </w:p>
        </w:tc>
      </w:tr>
      <w:tr>
        <w:tblPrEx>
          <w:tblCellMar>
            <w:top w:w="15" w:type="dxa"/>
            <w:left w:w="15" w:type="dxa"/>
            <w:bottom w:w="15" w:type="dxa"/>
            <w:right w:w="15" w:type="dxa"/>
          </w:tblCellMar>
        </w:tblPrEx>
        <w:trPr>
          <w:jc w:val="center"/>
        </w:trPr>
        <w:tc>
          <w:tcPr>
            <w:tcW w:w="4382" w:type="dxa"/>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07"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商业</w:t>
            </w:r>
          </w:p>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企业</w:t>
            </w:r>
          </w:p>
        </w:tc>
        <w:tc>
          <w:tcPr>
            <w:tcW w:w="488"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科研</w:t>
            </w:r>
          </w:p>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机构</w:t>
            </w:r>
          </w:p>
        </w:tc>
        <w:tc>
          <w:tcPr>
            <w:tcW w:w="516"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社会公益组织</w:t>
            </w:r>
          </w:p>
        </w:tc>
        <w:tc>
          <w:tcPr>
            <w:tcW w:w="507"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法律服务机构</w:t>
            </w:r>
          </w:p>
        </w:tc>
        <w:tc>
          <w:tcPr>
            <w:tcW w:w="507"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其他</w:t>
            </w:r>
          </w:p>
        </w:tc>
        <w:tc>
          <w:tcPr>
            <w:tcW w:w="930"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r>
      <w:tr>
        <w:tblPrEx>
          <w:tblCellMar>
            <w:top w:w="15" w:type="dxa"/>
            <w:left w:w="15" w:type="dxa"/>
            <w:bottom w:w="15" w:type="dxa"/>
            <w:right w:w="15" w:type="dxa"/>
          </w:tblCellMar>
        </w:tblPrEx>
        <w:trPr>
          <w:trHeight w:val="276" w:hRule="atLeast"/>
          <w:jc w:val="center"/>
        </w:trPr>
        <w:tc>
          <w:tcPr>
            <w:tcW w:w="4382"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一、本年新收政府信息公开申请数量</w:t>
            </w: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r>
      <w:tr>
        <w:tblPrEx>
          <w:tblCellMar>
            <w:top w:w="15" w:type="dxa"/>
            <w:left w:w="15" w:type="dxa"/>
            <w:bottom w:w="15" w:type="dxa"/>
            <w:right w:w="15" w:type="dxa"/>
          </w:tblCellMar>
        </w:tblPrEx>
        <w:trPr>
          <w:trHeight w:val="300" w:hRule="atLeast"/>
          <w:jc w:val="center"/>
        </w:trPr>
        <w:tc>
          <w:tcPr>
            <w:tcW w:w="4382"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二、上年结转政府信息公开申请数量</w:t>
            </w: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三、本年度办理结果</w:t>
            </w:r>
          </w:p>
        </w:tc>
        <w:tc>
          <w:tcPr>
            <w:tcW w:w="3254"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（一）予以公开</w:t>
            </w: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3254"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（二）部分公开（区分处理的，只计这一情形，不计其他情形）</w:t>
            </w: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（三）不予公开</w:t>
            </w: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1.属于国家秘密</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2.其他法律行政法规禁止公开</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3.危及“三安全一稳定”</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4.保护第三方合法权益</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5.属于三类内部事务信息</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6.属于四类过程性信息</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7.属于行政执法案卷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8.属于行政查询事项</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（四）无法提供</w:t>
            </w: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1.本机关不掌握相关政府信息</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2.没有现成信息需要另行制作</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3.补正后申请内容仍不明确</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（五）不予处理</w:t>
            </w: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1.信访举报投诉类申请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53"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2.重复申请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07"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3.要求提供公开出版物</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88"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4.无正当理由大量反复申请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438"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5.要求行政机关确认或重新出具已获取信息</w:t>
            </w:r>
          </w:p>
        </w:tc>
        <w:tc>
          <w:tcPr>
            <w:tcW w:w="47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restart"/>
            <w:tcBorders>
              <w:top w:val="nil"/>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（六）其他处理</w:t>
            </w:r>
          </w:p>
        </w:tc>
        <w:tc>
          <w:tcPr>
            <w:tcW w:w="2202"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1.申请人无正当理由逾期不补正、行政机关不再处理其政府信息公开申请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2.申请人逾期未按收费通知要求缴纳费用、行政机关不再处理其政府信息公开申请</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300"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1052" w:type="dxa"/>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2202"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3.其他</w:t>
            </w:r>
          </w:p>
        </w:tc>
        <w:tc>
          <w:tcPr>
            <w:tcW w:w="47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288" w:hRule="atLeast"/>
          <w:jc w:val="center"/>
        </w:trPr>
        <w:tc>
          <w:tcPr>
            <w:tcW w:w="1128" w:type="dxa"/>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3254"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（七）总计</w:t>
            </w: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p>
        </w:tc>
      </w:tr>
      <w:tr>
        <w:tblPrEx>
          <w:tblCellMar>
            <w:top w:w="15" w:type="dxa"/>
            <w:left w:w="15" w:type="dxa"/>
            <w:bottom w:w="15" w:type="dxa"/>
            <w:right w:w="15" w:type="dxa"/>
          </w:tblCellMar>
        </w:tblPrEx>
        <w:trPr>
          <w:trHeight w:val="357" w:hRule="atLeast"/>
          <w:jc w:val="center"/>
        </w:trPr>
        <w:tc>
          <w:tcPr>
            <w:tcW w:w="4382" w:type="dxa"/>
            <w:gridSpan w:val="3"/>
            <w:tcBorders>
              <w:top w:val="nil"/>
              <w:left w:val="single" w:color="auto" w:sz="4" w:space="0"/>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四、结转下年度继续办理</w:t>
            </w:r>
          </w:p>
        </w:tc>
        <w:tc>
          <w:tcPr>
            <w:tcW w:w="47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88"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6"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07"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30" w:type="dxa"/>
            <w:tcBorders>
              <w:top w:val="nil"/>
              <w:left w:val="nil"/>
              <w:bottom w:val="nil"/>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r>
        <w:tblPrEx>
          <w:tblCellMar>
            <w:top w:w="15" w:type="dxa"/>
            <w:left w:w="15" w:type="dxa"/>
            <w:bottom w:w="15" w:type="dxa"/>
            <w:right w:w="15" w:type="dxa"/>
          </w:tblCellMar>
        </w:tblPrEx>
        <w:trPr>
          <w:trHeight w:val="357" w:hRule="atLeast"/>
          <w:jc w:val="center"/>
        </w:trPr>
        <w:tc>
          <w:tcPr>
            <w:tcW w:w="4382"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7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88"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1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suppressLineNumbers w:val="0"/>
              <w:kinsoku/>
              <w:wordWrap/>
              <w:overflowPunct/>
              <w:topLinePunct w:val="0"/>
              <w:autoSpaceDE/>
              <w:autoSpaceDN/>
              <w:bidi w:val="0"/>
              <w:spacing w:before="81"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9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r>
    </w:tbl>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四、政府信息公开行政复议、行政诉讼情况</w:t>
      </w:r>
    </w:p>
    <w:tbl>
      <w:tblPr>
        <w:tblStyle w:val="6"/>
        <w:tblW w:w="8345" w:type="dxa"/>
        <w:jc w:val="center"/>
        <w:tblLayout w:type="autofit"/>
        <w:tblCellMar>
          <w:top w:w="15" w:type="dxa"/>
          <w:left w:w="15" w:type="dxa"/>
          <w:bottom w:w="15" w:type="dxa"/>
          <w:right w:w="15" w:type="dxa"/>
        </w:tblCellMar>
      </w:tblPr>
      <w:tblGrid>
        <w:gridCol w:w="965"/>
        <w:gridCol w:w="494"/>
        <w:gridCol w:w="494"/>
        <w:gridCol w:w="494"/>
        <w:gridCol w:w="518"/>
        <w:gridCol w:w="494"/>
        <w:gridCol w:w="494"/>
        <w:gridCol w:w="494"/>
        <w:gridCol w:w="494"/>
        <w:gridCol w:w="519"/>
        <w:gridCol w:w="495"/>
        <w:gridCol w:w="495"/>
        <w:gridCol w:w="495"/>
        <w:gridCol w:w="495"/>
        <w:gridCol w:w="905"/>
      </w:tblGrid>
      <w:tr>
        <w:tblPrEx>
          <w:tblCellMar>
            <w:top w:w="15" w:type="dxa"/>
            <w:left w:w="15" w:type="dxa"/>
            <w:bottom w:w="15" w:type="dxa"/>
            <w:right w:w="15" w:type="dxa"/>
          </w:tblCellMar>
        </w:tblPrEx>
        <w:trPr>
          <w:jc w:val="center"/>
        </w:trPr>
        <w:tc>
          <w:tcPr>
            <w:tcW w:w="2965" w:type="dxa"/>
            <w:gridSpan w:val="5"/>
            <w:tcBorders>
              <w:top w:val="single" w:color="auto" w:sz="4" w:space="0"/>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行政复议</w:t>
            </w:r>
          </w:p>
        </w:tc>
        <w:tc>
          <w:tcPr>
            <w:tcW w:w="5380" w:type="dxa"/>
            <w:gridSpan w:val="10"/>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行政诉讼</w:t>
            </w:r>
          </w:p>
        </w:tc>
      </w:tr>
      <w:tr>
        <w:tblPrEx>
          <w:tblCellMar>
            <w:top w:w="15" w:type="dxa"/>
            <w:left w:w="15" w:type="dxa"/>
            <w:bottom w:w="15" w:type="dxa"/>
            <w:right w:w="15" w:type="dxa"/>
          </w:tblCellMar>
        </w:tblPrEx>
        <w:trPr>
          <w:jc w:val="center"/>
        </w:trPr>
        <w:tc>
          <w:tcPr>
            <w:tcW w:w="965" w:type="dxa"/>
            <w:vMerge w:val="restart"/>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结果维持</w:t>
            </w:r>
          </w:p>
        </w:tc>
        <w:tc>
          <w:tcPr>
            <w:tcW w:w="494" w:type="dxa"/>
            <w:vMerge w:val="restart"/>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纠正</w:t>
            </w:r>
          </w:p>
        </w:tc>
        <w:tc>
          <w:tcPr>
            <w:tcW w:w="494"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tc>
        <w:tc>
          <w:tcPr>
            <w:tcW w:w="494"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审结</w:t>
            </w:r>
          </w:p>
        </w:tc>
        <w:tc>
          <w:tcPr>
            <w:tcW w:w="518"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总计</w:t>
            </w:r>
          </w:p>
        </w:tc>
        <w:tc>
          <w:tcPr>
            <w:tcW w:w="2495"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未经复议直接起诉</w:t>
            </w:r>
          </w:p>
        </w:tc>
        <w:tc>
          <w:tcPr>
            <w:tcW w:w="2885"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复议后起诉</w:t>
            </w:r>
          </w:p>
        </w:tc>
      </w:tr>
      <w:tr>
        <w:tblPrEx>
          <w:tblCellMar>
            <w:top w:w="15" w:type="dxa"/>
            <w:left w:w="15" w:type="dxa"/>
            <w:bottom w:w="15" w:type="dxa"/>
            <w:right w:w="15" w:type="dxa"/>
          </w:tblCellMar>
        </w:tblPrEx>
        <w:trPr>
          <w:jc w:val="center"/>
        </w:trPr>
        <w:tc>
          <w:tcPr>
            <w:tcW w:w="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94" w:type="dxa"/>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9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9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51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维持</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纠正</w:t>
            </w:r>
          </w:p>
        </w:tc>
        <w:tc>
          <w:tcPr>
            <w:tcW w:w="494"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tc>
        <w:tc>
          <w:tcPr>
            <w:tcW w:w="494"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审结</w:t>
            </w:r>
          </w:p>
        </w:tc>
        <w:tc>
          <w:tcPr>
            <w:tcW w:w="519"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总计</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维持</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纠正</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其他</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结果</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尚未</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审结</w:t>
            </w:r>
          </w:p>
        </w:tc>
        <w:tc>
          <w:tcPr>
            <w:tcW w:w="90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总计</w:t>
            </w:r>
          </w:p>
        </w:tc>
      </w:tr>
      <w:tr>
        <w:tblPrEx>
          <w:tblCellMar>
            <w:top w:w="15" w:type="dxa"/>
            <w:left w:w="15" w:type="dxa"/>
            <w:bottom w:w="15" w:type="dxa"/>
            <w:right w:w="15" w:type="dxa"/>
          </w:tblCellMar>
        </w:tblPrEx>
        <w:trPr>
          <w:trHeight w:val="518" w:hRule="atLeast"/>
          <w:jc w:val="center"/>
        </w:trPr>
        <w:tc>
          <w:tcPr>
            <w:tcW w:w="965" w:type="dxa"/>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8"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4"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519"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c>
          <w:tcPr>
            <w:tcW w:w="90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0</w:t>
            </w:r>
          </w:p>
        </w:tc>
      </w:tr>
    </w:tbl>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五、存在的主要问题及改进情况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一年来，</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统计信息公开工作取得了一定成效，但对标</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委</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工作要求和社会公众关注，尚有一定差距，主要体现在：一是信息公开的及时性不够，略显滞后；二是信息公开的事项不够全面、内容不够丰富，不能完全满足社会公众的需求和关注。下一步，我们将主要从三方面入手，着力提升政府信息公开质量。</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一是加强政策数据解读。</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聚焦经济运行的新特点、新亮点、新变化，及时做好宣传解读，实现专业数据业外人士看得懂、算得清、辨得明。对涉及公众利益的、有较大影响的政策，如第五次全国经济普查，进行多方面的宣传和解读。</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二是提高主动公开内容质量。</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按照目录规范，及时更新发布政务信息，加强培训指导，分清工作信息、涉密信息和内部信息不同的管理要求，规范、安全发布政务信息，提供政务服务。充分发挥政务公开领导小组职能作用，加强具体负责人和业务骨干综合能力培训，提高政务公开能力水平。</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三是加强新媒体技术应用培训。</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通过邀请专业人士集中培训演示，强化各相关人员应用动漫、音频、视频、图表图解等技术发布信息的能力，让政府信息公开更加生动多彩、更为群众喜闻乐见。</w:t>
      </w:r>
    </w:p>
    <w:p>
      <w:pPr>
        <w:keepNext w:val="0"/>
        <w:keepLines w:val="0"/>
        <w:pageBreakBefore w:val="0"/>
        <w:widowControl/>
        <w:kinsoku/>
        <w:wordWrap/>
        <w:overflowPunct/>
        <w:topLinePunct w:val="0"/>
        <w:autoSpaceDE/>
        <w:autoSpaceDN/>
        <w:bidi w:val="0"/>
        <w:adjustRightInd w:val="0"/>
        <w:snapToGrid w:val="0"/>
        <w:spacing w:line="600" w:lineRule="exact"/>
        <w:ind w:left="319" w:leftChars="152" w:firstLine="320" w:firstLineChars="1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1.收取信息处理费情况方面。</w:t>
      </w:r>
      <w:r>
        <w:rPr>
          <w:rFonts w:hint="default" w:ascii="Times New Roman" w:hAnsi="Times New Roman" w:eastAsia="仿宋_GB2312" w:cs="Times New Roman"/>
          <w:color w:val="000000" w:themeColor="text1"/>
          <w:sz w:val="32"/>
          <w:szCs w:val="32"/>
          <w14:textFill>
            <w14:solidFill>
              <w14:schemeClr w14:val="tx1"/>
            </w14:solidFill>
          </w14:textFill>
        </w:rPr>
        <w:t>认真贯彻执行国务院办公厅《政府信息公开信息处理费管理办法》和《关于政府信息公开处理费管理有关事项的通知》。2023年我局未收取信息处理费。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.人大代表建议和政协提案办理情况方面</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本年度未收到办理的人大建议和政协提案。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.本单位在政务公开制度、内容、形式和平台建设方面的创新实践情况</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薛城区统计局</w:t>
      </w:r>
      <w:r>
        <w:rPr>
          <w:rFonts w:hint="default" w:ascii="Times New Roman" w:hAnsi="Times New Roman" w:eastAsia="仿宋_GB2312" w:cs="Times New Roman"/>
          <w:color w:val="000000" w:themeColor="text1"/>
          <w:sz w:val="32"/>
          <w:szCs w:val="32"/>
          <w14:textFill>
            <w14:solidFill>
              <w14:schemeClr w14:val="tx1"/>
            </w14:solidFill>
          </w14:textFill>
        </w:rPr>
        <w:t>坚持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以公开为常态、不公开为例外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遵循公正、公平、合法、便民的原则，扎实推进政府信息公开工作。及时更新发布统计数据信息，全面客观反映经济社会发展态势；积极提供统计信息咨询服务，满足社会公众对统计信息的需求；不断加强新媒体平台的统筹管理，创新信息发布形式，提升新媒体平台宣传实效；持续加大统计监督工作信息公开力度，不断推进重点领域信息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widowControl/>
        <w:suppressLineNumbers w:val="0"/>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14:textFill>
            <w14:solidFill>
              <w14:schemeClr w14:val="tx1"/>
            </w14:solidFill>
          </w14:textFill>
        </w:rPr>
        <w:t>.本单位政府信息公开工作年度报告数据统计需要说明的事项：</w:t>
      </w:r>
      <w:r>
        <w:rPr>
          <w:rFonts w:hint="eastAsia" w:ascii="Times New Roman" w:hAnsi="Times New Roman" w:eastAsia="仿宋_GB2312" w:cs="Times New Roman"/>
          <w:sz w:val="32"/>
          <w:szCs w:val="32"/>
          <w:lang w:val="en-US" w:eastAsia="zh-CN"/>
        </w:rPr>
        <w:t>报告中所列数据的统计期限自2024年1月1日起至2024年12月31</w:t>
      </w:r>
      <w:r>
        <w:rPr>
          <w:rFonts w:hint="eastAsia" w:ascii="Times New Roman" w:hAnsi="Times New Roman" w:eastAsia="仿宋_GB2312" w:cs="Times New Roman"/>
          <w:kern w:val="2"/>
          <w:sz w:val="32"/>
          <w:szCs w:val="32"/>
          <w:lang w:val="en-US" w:eastAsia="zh-CN" w:bidi="ar-SA"/>
        </w:rPr>
        <w:t>日止。</w:t>
      </w:r>
    </w:p>
    <w:p>
      <w:pPr>
        <w:pStyle w:val="2"/>
        <w:ind w:firstLine="640" w:firstLineChars="200"/>
        <w:rPr>
          <w:rFonts w:hint="eastAsia"/>
          <w:lang w:val="en-US" w:eastAsia="zh-CN"/>
        </w:rPr>
      </w:pPr>
      <w:r>
        <w:rPr>
          <w:rFonts w:hint="eastAsia" w:ascii="Times New Roman" w:hAnsi="Times New Roman" w:eastAsia="楷体" w:cs="Times New Roman"/>
          <w:kern w:val="2"/>
          <w:sz w:val="32"/>
          <w:szCs w:val="32"/>
          <w:lang w:val="en-US" w:eastAsia="zh-CN" w:bidi="ar-SA"/>
        </w:rPr>
        <w:t>5.本行政机关认为需要报告的其他事项：</w:t>
      </w:r>
      <w:r>
        <w:rPr>
          <w:rFonts w:hint="eastAsia" w:ascii="Times New Roman" w:hAnsi="Times New Roman" w:eastAsia="仿宋_GB2312" w:cs="Times New Roman"/>
          <w:kern w:val="2"/>
          <w:sz w:val="32"/>
          <w:szCs w:val="32"/>
          <w:lang w:val="en-US" w:eastAsia="zh-CN" w:bidi="ar-SA"/>
        </w:rPr>
        <w:t>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6.</w:t>
      </w:r>
      <w:r>
        <w:rPr>
          <w:rFonts w:hint="eastAsia" w:ascii="楷体_GB2312" w:hAnsi="楷体_GB2312" w:eastAsia="楷体_GB2312" w:cs="楷体_GB2312"/>
          <w:color w:val="000000" w:themeColor="text1"/>
          <w:sz w:val="32"/>
          <w:szCs w:val="32"/>
          <w14:textFill>
            <w14:solidFill>
              <w14:schemeClr w14:val="tx1"/>
            </w14:solidFill>
          </w14:textFill>
        </w:rPr>
        <w:t>其他有关文件专门要求通过政府信息公开工作年度报告予以报告的事项：</w:t>
      </w:r>
      <w:r>
        <w:rPr>
          <w:rFonts w:hint="default" w:ascii="Times New Roman" w:hAnsi="Times New Roman" w:eastAsia="仿宋_GB2312" w:cs="Times New Roman"/>
          <w:color w:val="000000" w:themeColor="text1"/>
          <w:sz w:val="32"/>
          <w:szCs w:val="32"/>
          <w14:textFill>
            <w14:solidFill>
              <w14:schemeClr w14:val="tx1"/>
            </w14:solidFill>
          </w14:textFill>
        </w:rPr>
        <w:t>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pPr>
        <w:pStyle w:val="2"/>
        <w:jc w:val="center"/>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薛城区统计局</w:t>
      </w:r>
    </w:p>
    <w:p>
      <w:pPr>
        <w:pStyle w:val="2"/>
        <w:jc w:val="righ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2025年1月10日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EA0E9"/>
    <w:multiLevelType w:val="singleLevel"/>
    <w:tmpl w:val="ABFEA0E9"/>
    <w:lvl w:ilvl="0" w:tentative="0">
      <w:start w:val="5"/>
      <w:numFmt w:val="chineseCounting"/>
      <w:suff w:val="nothing"/>
      <w:lvlText w:val="（%1）"/>
      <w:lvlJc w:val="left"/>
      <w:rPr>
        <w:rFonts w:hint="eastAsia"/>
      </w:rPr>
    </w:lvl>
  </w:abstractNum>
  <w:abstractNum w:abstractNumId="1">
    <w:nsid w:val="C657BBFE"/>
    <w:multiLevelType w:val="singleLevel"/>
    <w:tmpl w:val="C657BBF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8C3C1A"/>
    <w:rsid w:val="001136AF"/>
    <w:rsid w:val="004D654C"/>
    <w:rsid w:val="007B7314"/>
    <w:rsid w:val="008C3C1A"/>
    <w:rsid w:val="00AE1A2E"/>
    <w:rsid w:val="00E74884"/>
    <w:rsid w:val="05586E0D"/>
    <w:rsid w:val="09FBA3B4"/>
    <w:rsid w:val="0D6271A2"/>
    <w:rsid w:val="0EED9153"/>
    <w:rsid w:val="0F421593"/>
    <w:rsid w:val="12882B00"/>
    <w:rsid w:val="12CE7A66"/>
    <w:rsid w:val="15D11126"/>
    <w:rsid w:val="16855FCC"/>
    <w:rsid w:val="16E8118A"/>
    <w:rsid w:val="18411EEF"/>
    <w:rsid w:val="18423C4B"/>
    <w:rsid w:val="20D63290"/>
    <w:rsid w:val="20F14BC7"/>
    <w:rsid w:val="2340242B"/>
    <w:rsid w:val="2417458F"/>
    <w:rsid w:val="24CB4C5C"/>
    <w:rsid w:val="25710085"/>
    <w:rsid w:val="2FBF037D"/>
    <w:rsid w:val="2FF70D94"/>
    <w:rsid w:val="33FFCE75"/>
    <w:rsid w:val="36E44B5A"/>
    <w:rsid w:val="397F5561"/>
    <w:rsid w:val="3B7F89FD"/>
    <w:rsid w:val="3BBF4216"/>
    <w:rsid w:val="3C7514A7"/>
    <w:rsid w:val="3F0F760E"/>
    <w:rsid w:val="3F7B3CC2"/>
    <w:rsid w:val="3F8FB44D"/>
    <w:rsid w:val="3FBF5604"/>
    <w:rsid w:val="458552CC"/>
    <w:rsid w:val="48EC789E"/>
    <w:rsid w:val="491607F7"/>
    <w:rsid w:val="4E31219A"/>
    <w:rsid w:val="50F52C09"/>
    <w:rsid w:val="520546A4"/>
    <w:rsid w:val="58BA4318"/>
    <w:rsid w:val="5B3313FD"/>
    <w:rsid w:val="5B8A71CF"/>
    <w:rsid w:val="5CFF5B36"/>
    <w:rsid w:val="5EFF626A"/>
    <w:rsid w:val="5FA72ED3"/>
    <w:rsid w:val="60EA79A6"/>
    <w:rsid w:val="62AC0373"/>
    <w:rsid w:val="632B4A27"/>
    <w:rsid w:val="64B81251"/>
    <w:rsid w:val="657433F9"/>
    <w:rsid w:val="65E86061"/>
    <w:rsid w:val="695C4C7E"/>
    <w:rsid w:val="6D621EAE"/>
    <w:rsid w:val="6DBB701D"/>
    <w:rsid w:val="6E7DB89A"/>
    <w:rsid w:val="6F86590D"/>
    <w:rsid w:val="70D16DDC"/>
    <w:rsid w:val="73BF6CA2"/>
    <w:rsid w:val="77A991A8"/>
    <w:rsid w:val="7ABED89A"/>
    <w:rsid w:val="7AEDA52D"/>
    <w:rsid w:val="7BB92EAC"/>
    <w:rsid w:val="7CA73C2D"/>
    <w:rsid w:val="7EC860DC"/>
    <w:rsid w:val="7EFBF6E2"/>
    <w:rsid w:val="7F7FA5E5"/>
    <w:rsid w:val="7FAD13F0"/>
    <w:rsid w:val="97FA05B4"/>
    <w:rsid w:val="9EFACB82"/>
    <w:rsid w:val="9FF36811"/>
    <w:rsid w:val="ABED3A82"/>
    <w:rsid w:val="B3365E29"/>
    <w:rsid w:val="B3DFA6D7"/>
    <w:rsid w:val="B9EFE4B7"/>
    <w:rsid w:val="BBBF93ED"/>
    <w:rsid w:val="BECEE6EF"/>
    <w:rsid w:val="D3FF1E6C"/>
    <w:rsid w:val="DBEF867D"/>
    <w:rsid w:val="DBF3A3B9"/>
    <w:rsid w:val="DCFA62E2"/>
    <w:rsid w:val="DD3F048F"/>
    <w:rsid w:val="DEB40EE5"/>
    <w:rsid w:val="EAEE346E"/>
    <w:rsid w:val="EDE72720"/>
    <w:rsid w:val="F37F6A46"/>
    <w:rsid w:val="F3BD4F9E"/>
    <w:rsid w:val="F76F826D"/>
    <w:rsid w:val="F7BF5D01"/>
    <w:rsid w:val="F975C746"/>
    <w:rsid w:val="FBED88B6"/>
    <w:rsid w:val="FBFBFAB3"/>
    <w:rsid w:val="FBFC8396"/>
    <w:rsid w:val="FD7E14C3"/>
    <w:rsid w:val="FEF75A20"/>
    <w:rsid w:val="FF3F9EC0"/>
    <w:rsid w:val="FFF7CAE6"/>
    <w:rsid w:val="FFFE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2703</Words>
  <Characters>2844</Characters>
  <Lines>16</Lines>
  <Paragraphs>4</Paragraphs>
  <TotalTime>0</TotalTime>
  <ScaleCrop>false</ScaleCrop>
  <LinksUpToDate>false</LinksUpToDate>
  <CharactersWithSpaces>2854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2023-01-11T22:08:00Z</dcterms:created>
  <dc:creator>admin</dc:creator>
  <cp:lastModifiedBy>user</cp:lastModifiedBy>
  <dcterms:modified xsi:type="dcterms:W3CDTF">2025-01-10T16:06:34Z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B009FC55C52140C187DD6B1BAF644CCF_13</vt:lpwstr>
  </property>
  <property fmtid="{D5CDD505-2E9C-101B-9397-08002B2CF9AE}" pid="4" name="KSOTemplateDocerSaveRecord">
    <vt:lpwstr>eyJoZGlkIjoiNTc3OGU5MDVlNzkyZTVhOTZhNjlkNDY2OTk3YmUwMWEifQ==</vt:lpwstr>
  </property>
</Properties>
</file>