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jc w:val="center"/>
        <w:textAlignment w:val="auto"/>
        <w:rPr>
          <w:rFonts w:hint="default" w:ascii="Times New Roman" w:hAnsi="Times New Roman" w:eastAsia="方正小标宋简体" w:cs="Times New Roman"/>
          <w:i w:val="0"/>
          <w:caps w:val="0"/>
          <w:color w:val="auto"/>
          <w:spacing w:val="0"/>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jc w:val="center"/>
        <w:textAlignment w:val="auto"/>
        <w:rPr>
          <w:rFonts w:hint="default" w:ascii="Times New Roman" w:hAnsi="Times New Roman" w:eastAsia="方正小标宋简体" w:cs="Times New Roman"/>
          <w:i w:val="0"/>
          <w:caps w:val="0"/>
          <w:color w:val="auto"/>
          <w:spacing w:val="0"/>
          <w:sz w:val="44"/>
          <w:szCs w:val="44"/>
        </w:rPr>
      </w:pPr>
      <w:bookmarkStart w:id="10" w:name="_GoBack"/>
      <w:bookmarkEnd w:id="10"/>
      <w:r>
        <w:rPr>
          <w:rFonts w:hint="default" w:ascii="Times New Roman" w:hAnsi="Times New Roman" w:eastAsia="方正小标宋简体" w:cs="Times New Roman"/>
          <w:i w:val="0"/>
          <w:caps w:val="0"/>
          <w:color w:val="auto"/>
          <w:spacing w:val="0"/>
          <w:sz w:val="44"/>
          <w:szCs w:val="44"/>
        </w:rPr>
        <w:t>薛城区陶庄镇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jc w:val="center"/>
        <w:textAlignment w:val="auto"/>
        <w:rPr>
          <w:rFonts w:hint="default" w:ascii="Times New Roman" w:hAnsi="Times New Roman" w:eastAsia="方正小标宋简体" w:cs="Times New Roman"/>
          <w:i w:val="0"/>
          <w:caps w:val="0"/>
          <w:color w:val="auto"/>
          <w:spacing w:val="0"/>
          <w:sz w:val="44"/>
          <w:szCs w:val="44"/>
        </w:rPr>
      </w:pPr>
      <w:r>
        <w:rPr>
          <w:rFonts w:hint="default" w:ascii="Times New Roman" w:hAnsi="Times New Roman" w:eastAsia="方正小标宋简体" w:cs="Times New Roman"/>
          <w:i w:val="0"/>
          <w:caps w:val="0"/>
          <w:color w:val="auto"/>
          <w:spacing w:val="0"/>
          <w:sz w:val="44"/>
          <w:szCs w:val="44"/>
        </w:rPr>
        <w:t>202</w:t>
      </w:r>
      <w:r>
        <w:rPr>
          <w:rFonts w:hint="default" w:ascii="Times New Roman" w:hAnsi="Times New Roman" w:eastAsia="方正小标宋简体" w:cs="Times New Roman"/>
          <w:i w:val="0"/>
          <w:caps w:val="0"/>
          <w:color w:val="auto"/>
          <w:spacing w:val="0"/>
          <w:sz w:val="44"/>
          <w:szCs w:val="44"/>
          <w:lang w:val="en-US" w:eastAsia="zh-CN"/>
        </w:rPr>
        <w:t>4</w:t>
      </w:r>
      <w:r>
        <w:rPr>
          <w:rFonts w:hint="default" w:ascii="Times New Roman" w:hAnsi="Times New Roman" w:eastAsia="方正小标宋简体" w:cs="Times New Roman"/>
          <w:i w:val="0"/>
          <w:caps w:val="0"/>
          <w:color w:val="auto"/>
          <w:spacing w:val="0"/>
          <w:sz w:val="44"/>
          <w:szCs w:val="44"/>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380" w:firstLineChars="200"/>
        <w:jc w:val="both"/>
        <w:textAlignment w:val="auto"/>
        <w:rPr>
          <w:rFonts w:hint="default" w:ascii="Times New Roman" w:hAnsi="Times New Roman" w:eastAsia="微软雅黑" w:cs="Times New Roman"/>
          <w:i w:val="0"/>
          <w:caps w:val="0"/>
          <w:color w:val="auto"/>
          <w:spacing w:val="0"/>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rPr>
        <w:t>根据《中华人民共和国政府信息公开条例》（国务院令第</w:t>
      </w:r>
      <w:r>
        <w:rPr>
          <w:rFonts w:hint="default" w:ascii="Times New Roman" w:hAnsi="Times New Roman" w:eastAsia="微软雅黑" w:cs="Times New Roman"/>
          <w:i w:val="0"/>
          <w:caps w:val="0"/>
          <w:color w:val="auto"/>
          <w:spacing w:val="0"/>
          <w:sz w:val="32"/>
          <w:szCs w:val="32"/>
          <w:shd w:val="clear" w:color="auto" w:fill="FFFFFF"/>
        </w:rPr>
        <w:t>711</w:t>
      </w:r>
      <w:r>
        <w:rPr>
          <w:rFonts w:hint="default" w:ascii="Times New Roman" w:hAnsi="Times New Roman" w:eastAsia="仿宋_GB2312" w:cs="Times New Roman"/>
          <w:i w:val="0"/>
          <w:caps w:val="0"/>
          <w:color w:val="auto"/>
          <w:spacing w:val="0"/>
          <w:sz w:val="32"/>
          <w:szCs w:val="32"/>
          <w:shd w:val="clear" w:color="auto" w:fill="FFFFFF"/>
        </w:rPr>
        <w:t>号，以下简称《条例》）和《国务院办公厅政府信息与政务公开办公室关于印发＜中华人民共和国政府信息公开工作年度报告格式＞的通知》（国办公开办函〔</w:t>
      </w:r>
      <w:r>
        <w:rPr>
          <w:rFonts w:hint="default" w:ascii="Times New Roman" w:hAnsi="Times New Roman" w:eastAsia="微软雅黑" w:cs="Times New Roman"/>
          <w:i w:val="0"/>
          <w:caps w:val="0"/>
          <w:color w:val="auto"/>
          <w:spacing w:val="0"/>
          <w:sz w:val="32"/>
          <w:szCs w:val="32"/>
          <w:shd w:val="clear" w:color="auto" w:fill="FFFFFF"/>
        </w:rPr>
        <w:t>2021</w:t>
      </w: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微软雅黑" w:cs="Times New Roman"/>
          <w:i w:val="0"/>
          <w:caps w:val="0"/>
          <w:color w:val="auto"/>
          <w:spacing w:val="0"/>
          <w:sz w:val="32"/>
          <w:szCs w:val="32"/>
          <w:shd w:val="clear" w:color="auto" w:fill="FFFFFF"/>
        </w:rPr>
        <w:t>30</w:t>
      </w:r>
      <w:r>
        <w:rPr>
          <w:rFonts w:hint="default" w:ascii="Times New Roman" w:hAnsi="Times New Roman" w:eastAsia="仿宋_GB2312" w:cs="Times New Roman"/>
          <w:i w:val="0"/>
          <w:caps w:val="0"/>
          <w:color w:val="auto"/>
          <w:spacing w:val="0"/>
          <w:sz w:val="32"/>
          <w:szCs w:val="32"/>
          <w:shd w:val="clear" w:color="auto" w:fill="FFFFFF"/>
        </w:rPr>
        <w:t>号）要求，现就推进政府信息公开工作情况，向社会公布薛城区陶庄镇202</w:t>
      </w:r>
      <w:r>
        <w:rPr>
          <w:rFonts w:hint="default" w:ascii="Times New Roman" w:hAnsi="Times New Roman" w:eastAsia="仿宋_GB2312" w:cs="Times New Roman"/>
          <w:i w:val="0"/>
          <w:caps w:val="0"/>
          <w:color w:val="auto"/>
          <w:spacing w:val="0"/>
          <w:sz w:val="32"/>
          <w:szCs w:val="32"/>
          <w:shd w:val="clear" w:color="auto" w:fill="FFFFFF"/>
          <w:lang w:val="en-US" w:eastAsia="zh-CN"/>
        </w:rPr>
        <w:t>4</w:t>
      </w:r>
      <w:r>
        <w:rPr>
          <w:rFonts w:hint="default" w:ascii="Times New Roman" w:hAnsi="Times New Roman" w:eastAsia="仿宋_GB2312" w:cs="Times New Roman"/>
          <w:i w:val="0"/>
          <w:caps w:val="0"/>
          <w:color w:val="auto"/>
          <w:spacing w:val="0"/>
          <w:sz w:val="32"/>
          <w:szCs w:val="32"/>
          <w:shd w:val="clear" w:color="auto" w:fill="FFFFFF"/>
        </w:rPr>
        <w:t>年政府信息公开工作年度报告</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微软雅黑" w:cs="Times New Roman"/>
          <w:i w:val="0"/>
          <w:caps w:val="0"/>
          <w:color w:val="auto"/>
          <w:spacing w:val="0"/>
          <w:sz w:val="19"/>
          <w:szCs w:val="19"/>
        </w:rPr>
      </w:pPr>
      <w:r>
        <w:rPr>
          <w:rFonts w:hint="default" w:ascii="Times New Roman" w:hAnsi="Times New Roman" w:eastAsia="黑体" w:cs="Times New Roman"/>
          <w:i w:val="0"/>
          <w:caps w:val="0"/>
          <w:color w:val="auto"/>
          <w:spacing w:val="0"/>
          <w:sz w:val="32"/>
          <w:szCs w:val="32"/>
          <w:shd w:val="clear" w:color="auto"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2024年，陶庄镇在习近平新时代中国特色社会主义思想的指引下，深入贯彻落实党的二十届三中全会精神，严格遵循《条例》的各项规定，紧密围绕国家、省</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市、区</w:t>
      </w:r>
      <w:r>
        <w:rPr>
          <w:rFonts w:hint="default" w:ascii="Times New Roman" w:hAnsi="Times New Roman" w:eastAsia="仿宋_GB2312" w:cs="Times New Roman"/>
          <w:i w:val="0"/>
          <w:caps w:val="0"/>
          <w:color w:val="auto"/>
          <w:spacing w:val="0"/>
          <w:sz w:val="32"/>
          <w:szCs w:val="32"/>
          <w:shd w:val="clear" w:color="auto" w:fill="FFFFFF"/>
        </w:rPr>
        <w:t>2024年政务公开工作重点任务要求，准确把握政府信息公开工作的职责定位和面临的形势要求</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持续</w:t>
      </w:r>
      <w:r>
        <w:rPr>
          <w:rFonts w:hint="default" w:ascii="Times New Roman" w:hAnsi="Times New Roman" w:eastAsia="仿宋_GB2312" w:cs="Times New Roman"/>
          <w:i w:val="0"/>
          <w:caps w:val="0"/>
          <w:color w:val="auto"/>
          <w:spacing w:val="0"/>
          <w:sz w:val="32"/>
          <w:szCs w:val="32"/>
          <w:shd w:val="clear" w:color="auto" w:fill="FFFFFF"/>
        </w:rPr>
        <w:t>发挥政府信息对人民群众生产生活和经济社会活动的服务作用</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有效保障了公众的知情权和监督权，提升了政府的公信力和服务效能，为地方的发展营造了良好的政务环境。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楷体_GB2312" w:cs="Times New Roman"/>
          <w:i w:val="0"/>
          <w:caps w:val="0"/>
          <w:color w:val="auto"/>
          <w:spacing w:val="0"/>
          <w:sz w:val="32"/>
          <w:szCs w:val="32"/>
          <w:shd w:val="clear" w:color="auto" w:fill="FFFFFF"/>
          <w:lang w:val="en-US" w:eastAsia="zh-CN"/>
        </w:rPr>
        <w:t>1.</w:t>
      </w:r>
      <w:r>
        <w:rPr>
          <w:rFonts w:hint="default" w:ascii="Times New Roman" w:hAnsi="Times New Roman" w:eastAsia="楷体_GB2312" w:cs="Times New Roman"/>
          <w:i w:val="0"/>
          <w:caps w:val="0"/>
          <w:color w:val="auto"/>
          <w:spacing w:val="0"/>
          <w:sz w:val="32"/>
          <w:szCs w:val="32"/>
          <w:shd w:val="clear" w:color="auto" w:fill="FFFFFF"/>
        </w:rPr>
        <w:t>主动公开情况。</w:t>
      </w:r>
      <w:r>
        <w:rPr>
          <w:rFonts w:hint="default" w:ascii="Times New Roman" w:hAnsi="Times New Roman" w:eastAsia="仿宋_GB2312" w:cs="Times New Roman"/>
          <w:i w:val="0"/>
          <w:caps w:val="0"/>
          <w:color w:val="auto"/>
          <w:spacing w:val="0"/>
          <w:sz w:val="32"/>
          <w:szCs w:val="32"/>
          <w:shd w:val="clear" w:color="auto" w:fill="FFFFFF"/>
        </w:rPr>
        <w:t>全年累计撰写工作动态及政务方面信息稿件</w:t>
      </w:r>
      <w:r>
        <w:rPr>
          <w:rFonts w:hint="default" w:ascii="Times New Roman" w:hAnsi="Times New Roman" w:eastAsia="微软雅黑" w:cs="Times New Roman"/>
          <w:i w:val="0"/>
          <w:caps w:val="0"/>
          <w:color w:val="auto"/>
          <w:spacing w:val="0"/>
          <w:sz w:val="32"/>
          <w:szCs w:val="32"/>
          <w:shd w:val="clear" w:color="auto" w:fill="auto"/>
          <w:lang w:val="en-US" w:eastAsia="zh-CN"/>
        </w:rPr>
        <w:t>9</w:t>
      </w:r>
      <w:r>
        <w:rPr>
          <w:rFonts w:hint="default" w:ascii="Times New Roman" w:hAnsi="Times New Roman" w:eastAsia="仿宋_GB2312" w:cs="Times New Roman"/>
          <w:i w:val="0"/>
          <w:caps w:val="0"/>
          <w:color w:val="auto"/>
          <w:spacing w:val="0"/>
          <w:sz w:val="32"/>
          <w:szCs w:val="32"/>
          <w:shd w:val="clear" w:color="auto" w:fill="FFFFFF"/>
        </w:rPr>
        <w:t>篇，上传更新政府信息公开内容</w:t>
      </w:r>
      <w:r>
        <w:rPr>
          <w:rFonts w:hint="default" w:ascii="Times New Roman" w:hAnsi="Times New Roman" w:eastAsia="仿宋_GB2312" w:cs="Times New Roman"/>
          <w:i w:val="0"/>
          <w:caps w:val="0"/>
          <w:color w:val="auto"/>
          <w:spacing w:val="0"/>
          <w:sz w:val="32"/>
          <w:szCs w:val="32"/>
          <w:shd w:val="clear" w:color="auto" w:fill="FFFFFF"/>
          <w:lang w:val="en-US" w:eastAsia="zh-CN"/>
        </w:rPr>
        <w:t>26</w:t>
      </w:r>
      <w:r>
        <w:rPr>
          <w:rFonts w:hint="default" w:ascii="Times New Roman" w:hAnsi="Times New Roman" w:eastAsia="仿宋_GB2312" w:cs="Times New Roman"/>
          <w:i w:val="0"/>
          <w:caps w:val="0"/>
          <w:color w:val="auto"/>
          <w:spacing w:val="0"/>
          <w:sz w:val="32"/>
          <w:szCs w:val="32"/>
          <w:shd w:val="clear" w:color="auto" w:fill="FFFFFF"/>
        </w:rPr>
        <w:t>条。</w:t>
      </w:r>
      <w:r>
        <w:rPr>
          <w:rFonts w:hint="default" w:ascii="Times New Roman" w:hAnsi="Times New Roman" w:eastAsia="仿宋_GB2312" w:cs="Times New Roman"/>
          <w:i w:val="0"/>
          <w:caps w:val="0"/>
          <w:color w:val="auto"/>
          <w:spacing w:val="0"/>
          <w:sz w:val="32"/>
          <w:szCs w:val="32"/>
          <w:shd w:val="clear" w:color="auto" w:fill="FFFFFF"/>
          <w:lang w:eastAsia="zh-CN"/>
        </w:rPr>
        <w:t>编制</w:t>
      </w:r>
      <w:r>
        <w:rPr>
          <w:rFonts w:hint="default" w:ascii="Times New Roman" w:hAnsi="Times New Roman" w:eastAsia="仿宋_GB2312" w:cs="Times New Roman"/>
          <w:i w:val="0"/>
          <w:caps w:val="0"/>
          <w:color w:val="auto"/>
          <w:spacing w:val="0"/>
          <w:sz w:val="32"/>
          <w:szCs w:val="32"/>
          <w:shd w:val="clear" w:color="auto" w:fill="FFFFFF"/>
          <w:lang w:val="en-US" w:eastAsia="zh-CN"/>
        </w:rPr>
        <w:t>了</w:t>
      </w:r>
      <w:r>
        <w:rPr>
          <w:rFonts w:hint="default" w:ascii="Times New Roman" w:hAnsi="Times New Roman" w:eastAsia="仿宋_GB2312" w:cs="Times New Roman"/>
          <w:i w:val="0"/>
          <w:caps w:val="0"/>
          <w:color w:val="auto"/>
          <w:spacing w:val="0"/>
          <w:sz w:val="32"/>
          <w:szCs w:val="32"/>
          <w:shd w:val="clear" w:color="auto" w:fill="FFFFFF"/>
          <w:lang w:eastAsia="zh-CN"/>
        </w:rPr>
        <w:t>陶庄镇人民政府信息主动公开基本目录，严格按照《条例》规定和上级要求，及时向社会公开</w:t>
      </w:r>
      <w:r>
        <w:rPr>
          <w:rFonts w:hint="default" w:ascii="Times New Roman" w:hAnsi="Times New Roman" w:eastAsia="仿宋_GB2312" w:cs="Times New Roman"/>
          <w:i w:val="0"/>
          <w:caps w:val="0"/>
          <w:color w:val="auto"/>
          <w:spacing w:val="0"/>
          <w:sz w:val="32"/>
          <w:szCs w:val="32"/>
          <w:shd w:val="clear" w:color="auto" w:fill="FFFFFF"/>
        </w:rPr>
        <w:t>推进财政预决算、公共资源配置、重大建设项目批准和实施、社会公益事业建设等领域</w:t>
      </w:r>
      <w:r>
        <w:rPr>
          <w:rFonts w:hint="default" w:ascii="Times New Roman" w:hAnsi="Times New Roman" w:eastAsia="仿宋_GB2312" w:cs="Times New Roman"/>
          <w:i w:val="0"/>
          <w:caps w:val="0"/>
          <w:color w:val="auto"/>
          <w:spacing w:val="0"/>
          <w:sz w:val="32"/>
          <w:szCs w:val="32"/>
          <w:shd w:val="clear" w:color="auto" w:fill="FFFFFF"/>
          <w:lang w:eastAsia="zh-CN"/>
        </w:rPr>
        <w:t>的</w:t>
      </w:r>
      <w:r>
        <w:rPr>
          <w:rFonts w:hint="default" w:ascii="Times New Roman" w:hAnsi="Times New Roman" w:eastAsia="仿宋_GB2312" w:cs="Times New Roman"/>
          <w:i w:val="0"/>
          <w:caps w:val="0"/>
          <w:color w:val="auto"/>
          <w:spacing w:val="0"/>
          <w:sz w:val="32"/>
          <w:szCs w:val="32"/>
          <w:shd w:val="clear" w:color="auto" w:fill="FFFFFF"/>
        </w:rPr>
        <w:t>信息</w:t>
      </w:r>
      <w:r>
        <w:rPr>
          <w:rFonts w:hint="default" w:ascii="Times New Roman" w:hAnsi="Times New Roman" w:eastAsia="仿宋_GB2312" w:cs="Times New Roman"/>
          <w:i w:val="0"/>
          <w:caps w:val="0"/>
          <w:color w:val="auto"/>
          <w:spacing w:val="0"/>
          <w:sz w:val="32"/>
          <w:szCs w:val="32"/>
          <w:shd w:val="clear" w:color="auto" w:fill="FFFFFF"/>
          <w:lang w:eastAsia="zh-CN"/>
        </w:rPr>
        <w:t>，有效保障了群众的知情权、参与权、监督权。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2.</w:t>
      </w:r>
      <w:r>
        <w:rPr>
          <w:rFonts w:hint="default" w:ascii="Times New Roman" w:hAnsi="Times New Roman" w:eastAsia="楷体_GB2312" w:cs="Times New Roman"/>
          <w:i w:val="0"/>
          <w:caps w:val="0"/>
          <w:color w:val="auto"/>
          <w:spacing w:val="0"/>
          <w:sz w:val="32"/>
          <w:szCs w:val="32"/>
          <w:highlight w:val="none"/>
          <w:shd w:val="clear" w:color="auto" w:fill="FFFFFF"/>
        </w:rPr>
        <w:t>依申请公开情况。</w:t>
      </w: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2024</w:t>
      </w:r>
      <w:r>
        <w:rPr>
          <w:rFonts w:hint="default" w:ascii="Times New Roman" w:hAnsi="Times New Roman" w:eastAsia="仿宋_GB2312" w:cs="Times New Roman"/>
          <w:i w:val="0"/>
          <w:caps w:val="0"/>
          <w:color w:val="auto"/>
          <w:spacing w:val="0"/>
          <w:sz w:val="32"/>
          <w:szCs w:val="32"/>
          <w:highlight w:val="none"/>
          <w:shd w:val="clear" w:color="auto" w:fill="FFFFFF"/>
        </w:rPr>
        <w:t>年度陶庄镇收到依申请公开</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2</w:t>
      </w:r>
      <w:r>
        <w:rPr>
          <w:rFonts w:hint="default" w:ascii="Times New Roman" w:hAnsi="Times New Roman" w:eastAsia="仿宋_GB2312" w:cs="Times New Roman"/>
          <w:i w:val="0"/>
          <w:caps w:val="0"/>
          <w:color w:val="auto"/>
          <w:spacing w:val="0"/>
          <w:sz w:val="32"/>
          <w:szCs w:val="32"/>
          <w:highlight w:val="none"/>
          <w:shd w:val="clear" w:color="auto" w:fill="FFFFFF"/>
        </w:rPr>
        <w:t>件，</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均无法提供信息</w:t>
      </w:r>
      <w:r>
        <w:rPr>
          <w:rFonts w:hint="default" w:ascii="Times New Roman" w:hAnsi="Times New Roman" w:eastAsia="仿宋_GB2312" w:cs="Times New Roman"/>
          <w:i w:val="0"/>
          <w:caps w:val="0"/>
          <w:color w:val="auto"/>
          <w:spacing w:val="0"/>
          <w:sz w:val="32"/>
          <w:szCs w:val="32"/>
          <w:highlight w:val="none"/>
          <w:shd w:val="clear" w:color="auto" w:fill="FFFFFF"/>
        </w:rPr>
        <w:t>，并已告知申请人获取信息的方式、途径，按规定时限答复</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政府信息公开行政复议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1件</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，无涉及政府信息公开</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的</w:t>
      </w:r>
      <w:r>
        <w:rPr>
          <w:rFonts w:hint="default" w:ascii="Times New Roman" w:hAnsi="Times New Roman" w:eastAsia="仿宋_GB2312" w:cs="Times New Roman"/>
          <w:i w:val="0"/>
          <w:caps w:val="0"/>
          <w:color w:val="auto"/>
          <w:spacing w:val="0"/>
          <w:sz w:val="32"/>
          <w:szCs w:val="32"/>
          <w:highlight w:val="none"/>
          <w:shd w:val="clear" w:color="auto" w:fill="FFFFFF"/>
        </w:rPr>
        <w:t>行政诉讼案件。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楷体_GB2312" w:cs="Times New Roman"/>
          <w:i w:val="0"/>
          <w:caps w:val="0"/>
          <w:color w:val="auto"/>
          <w:spacing w:val="0"/>
          <w:sz w:val="32"/>
          <w:szCs w:val="32"/>
          <w:shd w:val="clear" w:color="auto" w:fill="FFFFFF"/>
        </w:rPr>
      </w:pPr>
      <w:r>
        <w:rPr>
          <w:rFonts w:hint="default" w:ascii="Times New Roman" w:hAnsi="Times New Roman" w:eastAsia="楷体_GB2312" w:cs="Times New Roman"/>
          <w:i w:val="0"/>
          <w:caps w:val="0"/>
          <w:color w:val="auto"/>
          <w:spacing w:val="0"/>
          <w:sz w:val="32"/>
          <w:szCs w:val="32"/>
          <w:shd w:val="clear" w:color="auto" w:fill="FFFFFF"/>
          <w:lang w:val="en-US" w:eastAsia="zh-CN"/>
        </w:rPr>
        <w:t>3.</w:t>
      </w:r>
      <w:r>
        <w:rPr>
          <w:rFonts w:hint="default" w:ascii="Times New Roman" w:hAnsi="Times New Roman" w:eastAsia="楷体_GB2312" w:cs="Times New Roman"/>
          <w:i w:val="0"/>
          <w:caps w:val="0"/>
          <w:color w:val="auto"/>
          <w:spacing w:val="0"/>
          <w:sz w:val="32"/>
          <w:szCs w:val="32"/>
          <w:shd w:val="clear" w:color="auto" w:fill="FFFFFF"/>
        </w:rPr>
        <w:t>政府信息管理</w:t>
      </w:r>
      <w:r>
        <w:rPr>
          <w:rFonts w:hint="default" w:ascii="Times New Roman" w:hAnsi="Times New Roman" w:eastAsia="楷体_GB2312" w:cs="Times New Roman"/>
          <w:i w:val="0"/>
          <w:caps w:val="0"/>
          <w:color w:val="auto"/>
          <w:spacing w:val="0"/>
          <w:sz w:val="32"/>
          <w:szCs w:val="32"/>
          <w:shd w:val="clear" w:color="auto" w:fill="FFFFFF"/>
          <w:lang w:eastAsia="zh-CN"/>
        </w:rPr>
        <w:t>情况</w:t>
      </w:r>
      <w:r>
        <w:rPr>
          <w:rFonts w:hint="default" w:ascii="Times New Roman" w:hAnsi="Times New Roman" w:eastAsia="楷体_GB2312" w:cs="Times New Roman"/>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rPr>
        <w:t>遵循法规主动公开政策文件、财政收支、重大项目等信息，利用政府网站、新媒体等多种渠道发布，保障公众知情权与监督权。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楷体_GB2312" w:cs="Times New Roman"/>
          <w:i w:val="0"/>
          <w:caps w:val="0"/>
          <w:color w:val="auto"/>
          <w:spacing w:val="0"/>
          <w:sz w:val="32"/>
          <w:szCs w:val="32"/>
          <w:shd w:val="clear" w:color="auto" w:fill="FFFFFF"/>
          <w:lang w:val="en-US" w:eastAsia="zh-CN"/>
        </w:rPr>
        <w:t>4.</w:t>
      </w:r>
      <w:r>
        <w:rPr>
          <w:rFonts w:hint="default" w:ascii="Times New Roman" w:hAnsi="Times New Roman" w:eastAsia="楷体_GB2312" w:cs="Times New Roman"/>
          <w:i w:val="0"/>
          <w:caps w:val="0"/>
          <w:color w:val="auto"/>
          <w:spacing w:val="0"/>
          <w:sz w:val="32"/>
          <w:szCs w:val="32"/>
          <w:shd w:val="clear" w:color="auto" w:fill="FFFFFF"/>
        </w:rPr>
        <w:t>平台建设</w:t>
      </w:r>
      <w:r>
        <w:rPr>
          <w:rFonts w:hint="default" w:ascii="Times New Roman" w:hAnsi="Times New Roman" w:eastAsia="楷体_GB2312" w:cs="Times New Roman"/>
          <w:i w:val="0"/>
          <w:caps w:val="0"/>
          <w:color w:val="auto"/>
          <w:spacing w:val="0"/>
          <w:sz w:val="32"/>
          <w:szCs w:val="32"/>
          <w:shd w:val="clear" w:color="auto" w:fill="FFFFFF"/>
          <w:lang w:eastAsia="zh-CN"/>
        </w:rPr>
        <w:t>情况</w:t>
      </w:r>
      <w:r>
        <w:rPr>
          <w:rFonts w:hint="default" w:ascii="Times New Roman" w:hAnsi="Times New Roman" w:eastAsia="楷体_GB2312" w:cs="Times New Roman"/>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lang w:eastAsia="zh-CN"/>
        </w:rPr>
        <w:t>切实明确责任科室和具体工作人员的具体职责和任务，着重针对群众关心关注的重点领域，精心组织实施政府信息公开内容的上报、更新和维护等日常工作。积极主动地探索政务新媒体、线下公开渠道等各种行之有效的公开方式，不断优化公开效果，让政府信息公开工作更加深入、全面地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楷体_GB2312" w:cs="Times New Roman"/>
          <w:i w:val="0"/>
          <w:caps w:val="0"/>
          <w:color w:val="auto"/>
          <w:spacing w:val="0"/>
          <w:sz w:val="32"/>
          <w:szCs w:val="32"/>
          <w:shd w:val="clear" w:color="auto" w:fill="FFFFFF"/>
          <w:lang w:val="en-US" w:eastAsia="zh-CN"/>
        </w:rPr>
        <w:t>5.</w:t>
      </w:r>
      <w:r>
        <w:rPr>
          <w:rFonts w:hint="default" w:ascii="Times New Roman" w:hAnsi="Times New Roman" w:eastAsia="楷体_GB2312" w:cs="Times New Roman"/>
          <w:i w:val="0"/>
          <w:caps w:val="0"/>
          <w:color w:val="auto"/>
          <w:spacing w:val="0"/>
          <w:sz w:val="32"/>
          <w:szCs w:val="32"/>
          <w:shd w:val="clear" w:color="auto" w:fill="FFFFFF"/>
        </w:rPr>
        <w:t>监督保障情况。</w:t>
      </w:r>
      <w:r>
        <w:rPr>
          <w:rFonts w:hint="default" w:ascii="Times New Roman" w:hAnsi="Times New Roman" w:eastAsia="仿宋_GB2312" w:cs="Times New Roman"/>
          <w:i w:val="0"/>
          <w:caps w:val="0"/>
          <w:color w:val="auto"/>
          <w:spacing w:val="0"/>
          <w:sz w:val="32"/>
          <w:szCs w:val="32"/>
          <w:shd w:val="clear" w:color="auto" w:fill="FFFFFF"/>
          <w:lang w:eastAsia="zh-CN"/>
        </w:rPr>
        <w:t>优化机构设置，适时对政务公开工作领导小组及其成员进行调整，厘清工作职责，压实工作责任。通过开展专题教育活动、组织普及性学习等手段，提升政务公开工作人员的思想认知与业务素养，增强其工作能力和责任感。将政府信息公开工作列为重点任务，大力拓展主动公开的广度和深度，严格执行信息发布审核机制，从信息的收集、整理、审核到发布，各个环节均明确标准和流程，保证各项工作有条不紊推进，切实将政务公开工作落到实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630" w:lineRule="atLeast"/>
        <w:ind w:left="0" w:leftChars="0" w:right="0" w:firstLine="634"/>
        <w:jc w:val="both"/>
        <w:textAlignment w:val="auto"/>
        <w:rPr>
          <w:rFonts w:hint="default" w:ascii="Times New Roman" w:hAnsi="Times New Roman" w:eastAsia="黑体"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二、主动公开政府信息情况</w:t>
      </w:r>
    </w:p>
    <w:tbl>
      <w:tblPr>
        <w:tblStyle w:val="4"/>
        <w:tblW w:w="883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39"/>
        <w:gridCol w:w="2054"/>
        <w:gridCol w:w="2054"/>
        <w:gridCol w:w="268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黑体" w:cs="Times New Roman"/>
                <w:i w:val="0"/>
                <w:caps w:val="0"/>
                <w:color w:val="auto"/>
                <w:spacing w:val="0"/>
                <w:sz w:val="19"/>
                <w:szCs w:val="19"/>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信息内容</w:t>
            </w:r>
          </w:p>
        </w:tc>
        <w:tc>
          <w:tcPr>
            <w:tcW w:w="1995" w:type="dxa"/>
            <w:tcBorders>
              <w:top w:val="nil"/>
              <w:left w:val="nil"/>
              <w:bottom w:val="single" w:color="00000A" w:sz="8" w:space="0"/>
              <w:right w:val="single" w:color="00000A"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本年制发件数</w:t>
            </w:r>
          </w:p>
        </w:tc>
        <w:tc>
          <w:tcPr>
            <w:tcW w:w="1995" w:type="dxa"/>
            <w:tcBorders>
              <w:top w:val="nil"/>
              <w:left w:val="nil"/>
              <w:bottom w:val="single" w:color="00000A" w:sz="8" w:space="0"/>
              <w:right w:val="single" w:color="00000A"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本年废止件数</w:t>
            </w:r>
          </w:p>
        </w:tc>
        <w:tc>
          <w:tcPr>
            <w:tcW w:w="1980" w:type="dxa"/>
            <w:tcBorders>
              <w:top w:val="nil"/>
              <w:left w:val="nil"/>
              <w:bottom w:val="single" w:color="00000A" w:sz="8" w:space="0"/>
              <w:right w:val="single" w:color="00000A"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规章</w:t>
            </w:r>
          </w:p>
        </w:tc>
        <w:tc>
          <w:tcPr>
            <w:tcW w:w="1995" w:type="dxa"/>
            <w:tcBorders>
              <w:top w:val="nil"/>
              <w:left w:val="nil"/>
              <w:bottom w:val="single" w:color="00000A" w:sz="8" w:space="0"/>
              <w:right w:val="single" w:color="00000A"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0</w:t>
            </w:r>
          </w:p>
        </w:tc>
        <w:tc>
          <w:tcPr>
            <w:tcW w:w="1995" w:type="dxa"/>
            <w:tcBorders>
              <w:top w:val="nil"/>
              <w:left w:val="nil"/>
              <w:bottom w:val="single" w:color="00000A" w:sz="8" w:space="0"/>
              <w:right w:val="single" w:color="00000A"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0</w:t>
            </w:r>
          </w:p>
        </w:tc>
        <w:tc>
          <w:tcPr>
            <w:tcW w:w="1980" w:type="dxa"/>
            <w:tcBorders>
              <w:top w:val="nil"/>
              <w:left w:val="nil"/>
              <w:bottom w:val="single" w:color="00000A" w:sz="8" w:space="0"/>
              <w:right w:val="single" w:color="00000A"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行政规范性文件</w:t>
            </w:r>
          </w:p>
        </w:tc>
        <w:tc>
          <w:tcPr>
            <w:tcW w:w="1995" w:type="dxa"/>
            <w:tcBorders>
              <w:top w:val="nil"/>
              <w:left w:val="nil"/>
              <w:bottom w:val="single" w:color="00000A" w:sz="8" w:space="0"/>
              <w:right w:val="single" w:color="00000A"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0</w:t>
            </w:r>
          </w:p>
        </w:tc>
        <w:tc>
          <w:tcPr>
            <w:tcW w:w="1995" w:type="dxa"/>
            <w:tcBorders>
              <w:top w:val="nil"/>
              <w:left w:val="nil"/>
              <w:bottom w:val="single" w:color="00000A" w:sz="8" w:space="0"/>
              <w:right w:val="single" w:color="00000A"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0</w:t>
            </w:r>
          </w:p>
        </w:tc>
        <w:tc>
          <w:tcPr>
            <w:tcW w:w="1980" w:type="dxa"/>
            <w:tcBorders>
              <w:top w:val="nil"/>
              <w:left w:val="nil"/>
              <w:bottom w:val="single" w:color="00000A" w:sz="8" w:space="0"/>
              <w:right w:val="single" w:color="00000A"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黑体" w:cs="Times New Roman"/>
                <w:i w:val="0"/>
                <w:caps w:val="0"/>
                <w:color w:val="auto"/>
                <w:spacing w:val="0"/>
                <w:sz w:val="19"/>
                <w:szCs w:val="19"/>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行政许可</w:t>
            </w:r>
          </w:p>
        </w:tc>
        <w:tc>
          <w:tcPr>
            <w:tcW w:w="6390" w:type="dxa"/>
            <w:gridSpan w:val="3"/>
            <w:tcBorders>
              <w:top w:val="single" w:color="00000A" w:sz="8" w:space="0"/>
              <w:left w:val="nil"/>
              <w:bottom w:val="single" w:color="00000A" w:sz="8" w:space="0"/>
              <w:right w:val="single" w:color="000001"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黑体" w:cs="Times New Roman"/>
                <w:i w:val="0"/>
                <w:caps w:val="0"/>
                <w:color w:val="auto"/>
                <w:spacing w:val="0"/>
                <w:sz w:val="19"/>
                <w:szCs w:val="19"/>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980" w:type="dxa"/>
            <w:tcBorders>
              <w:top w:val="nil"/>
              <w:left w:val="single" w:color="00000A" w:sz="8" w:space="0"/>
              <w:bottom w:val="single" w:color="00000A" w:sz="6" w:space="0"/>
              <w:right w:val="single" w:color="00000A" w:sz="8" w:space="0"/>
            </w:tcBorders>
            <w:shd w:val="clear" w:color="auto" w:fill="FFFFFF"/>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980" w:type="dxa"/>
            <w:tcBorders>
              <w:top w:val="single" w:color="00000A" w:sz="6" w:space="0"/>
              <w:left w:val="single" w:color="00000A" w:sz="6" w:space="0"/>
              <w:bottom w:val="single" w:color="00000A" w:sz="8" w:space="0"/>
              <w:right w:val="single" w:color="00000A" w:sz="8" w:space="0"/>
            </w:tcBorders>
            <w:shd w:val="clear" w:color="auto" w:fill="FFFFFF"/>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行政处罚</w:t>
            </w:r>
          </w:p>
        </w:tc>
        <w:tc>
          <w:tcPr>
            <w:tcW w:w="6390" w:type="dxa"/>
            <w:gridSpan w:val="3"/>
            <w:tcBorders>
              <w:top w:val="single" w:color="00000A" w:sz="8" w:space="0"/>
              <w:left w:val="nil"/>
              <w:bottom w:val="single" w:color="00000A" w:sz="8" w:space="0"/>
              <w:right w:val="single" w:color="000001"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行政强制</w:t>
            </w:r>
          </w:p>
        </w:tc>
        <w:tc>
          <w:tcPr>
            <w:tcW w:w="6390" w:type="dxa"/>
            <w:gridSpan w:val="3"/>
            <w:tcBorders>
              <w:top w:val="single" w:color="00000A" w:sz="8" w:space="0"/>
              <w:left w:val="nil"/>
              <w:bottom w:val="single" w:color="00000A" w:sz="8" w:space="0"/>
              <w:right w:val="single" w:color="000001"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黑体" w:cs="Times New Roman"/>
                <w:i w:val="0"/>
                <w:caps w:val="0"/>
                <w:color w:val="auto"/>
                <w:spacing w:val="0"/>
                <w:sz w:val="19"/>
                <w:szCs w:val="19"/>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1980" w:type="dxa"/>
            <w:tcBorders>
              <w:top w:val="nil"/>
              <w:left w:val="single" w:color="00000A" w:sz="8" w:space="0"/>
              <w:bottom w:val="single" w:color="00000A" w:sz="8" w:space="0"/>
              <w:right w:val="single" w:color="00000A" w:sz="8" w:space="0"/>
            </w:tcBorders>
            <w:shd w:val="clear" w:color="auto" w:fill="FFFFFF"/>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行政事业性收费</w:t>
            </w:r>
          </w:p>
        </w:tc>
        <w:tc>
          <w:tcPr>
            <w:tcW w:w="6390" w:type="dxa"/>
            <w:gridSpan w:val="3"/>
            <w:tcBorders>
              <w:top w:val="single" w:color="00000A" w:sz="8" w:space="0"/>
              <w:left w:val="nil"/>
              <w:bottom w:val="single" w:color="00000A" w:sz="8" w:space="0"/>
              <w:right w:val="single" w:color="000001" w:sz="8" w:space="0"/>
            </w:tcBorders>
            <w:shd w:val="clear" w:color="auto" w:fill="FFFFFF"/>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i w:val="0"/>
                <w:caps w:val="0"/>
                <w:color w:val="auto"/>
                <w:spacing w:val="0"/>
                <w:sz w:val="19"/>
                <w:szCs w:val="19"/>
              </w:rPr>
              <w:t>0</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atLeast"/>
        <w:ind w:right="0" w:rightChars="0"/>
        <w:jc w:val="both"/>
        <w:textAlignment w:val="auto"/>
        <w:rPr>
          <w:rFonts w:hint="default" w:ascii="Times New Roman" w:hAnsi="Times New Roman" w:eastAsia="黑体" w:cs="Times New Roman"/>
          <w:i w:val="0"/>
          <w:caps w:val="0"/>
          <w:color w:val="auto"/>
          <w:spacing w:val="0"/>
          <w:sz w:val="32"/>
          <w:szCs w:val="32"/>
          <w:shd w:val="clear" w:color="auto" w:fill="FFFFFF"/>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both"/>
        <w:textAlignment w:val="auto"/>
        <w:rPr>
          <w:rFonts w:hint="default" w:ascii="Times New Roman" w:hAnsi="Times New Roman" w:eastAsia="黑体"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lang w:eastAsia="zh-CN"/>
        </w:rPr>
        <w:t>三、</w:t>
      </w:r>
      <w:r>
        <w:rPr>
          <w:rFonts w:hint="default" w:ascii="Times New Roman" w:hAnsi="Times New Roman" w:eastAsia="黑体" w:cs="Times New Roman"/>
          <w:i w:val="0"/>
          <w:caps w:val="0"/>
          <w:color w:val="auto"/>
          <w:spacing w:val="0"/>
          <w:sz w:val="32"/>
          <w:szCs w:val="32"/>
          <w:shd w:val="clear" w:color="auto" w:fill="FFFFFF"/>
        </w:rPr>
        <w:t>收到和处理政府信息公开申请情况</w:t>
      </w:r>
    </w:p>
    <w:tbl>
      <w:tblPr>
        <w:tblStyle w:val="4"/>
        <w:tblW w:w="1053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610"/>
        <w:gridCol w:w="1453"/>
        <w:gridCol w:w="3044"/>
        <w:gridCol w:w="607"/>
        <w:gridCol w:w="420"/>
        <w:gridCol w:w="420"/>
        <w:gridCol w:w="520"/>
        <w:gridCol w:w="492"/>
        <w:gridCol w:w="1152"/>
        <w:gridCol w:w="181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107" w:type="dxa"/>
            <w:gridSpan w:val="3"/>
            <w:vMerge w:val="restart"/>
            <w:tcBorders>
              <w:top w:val="single" w:color="00000A" w:sz="8" w:space="0"/>
              <w:left w:val="single" w:color="00000A" w:sz="8"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楷体_GB2312" w:cs="Times New Roman"/>
                <w:color w:val="auto"/>
                <w:sz w:val="19"/>
                <w:szCs w:val="19"/>
              </w:rPr>
              <w:t>（本列数据的勾稽关系为：第一项加第二项之和，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楷体_GB2312" w:cs="Times New Roman"/>
                <w:color w:val="auto"/>
                <w:sz w:val="19"/>
                <w:szCs w:val="19"/>
              </w:rPr>
              <w:t>等于第三项加第四项之和）</w:t>
            </w:r>
          </w:p>
        </w:tc>
        <w:tc>
          <w:tcPr>
            <w:tcW w:w="5423" w:type="dxa"/>
            <w:gridSpan w:val="7"/>
            <w:tcBorders>
              <w:top w:val="single" w:color="00000A" w:sz="8" w:space="0"/>
              <w:left w:val="single" w:color="00000A" w:sz="6" w:space="0"/>
              <w:bottom w:val="single" w:color="00000A" w:sz="6" w:space="0"/>
              <w:right w:val="single" w:color="00000A" w:sz="8"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107" w:type="dxa"/>
            <w:gridSpan w:val="3"/>
            <w:vMerge w:val="continue"/>
            <w:tcBorders>
              <w:top w:val="single" w:color="00000A" w:sz="8"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280" w:lineRule="exact"/>
              <w:ind w:left="0" w:leftChars="0" w:right="0"/>
              <w:textAlignment w:val="auto"/>
              <w:rPr>
                <w:rFonts w:hint="default" w:ascii="Times New Roman" w:hAnsi="Times New Roman" w:cs="Times New Roman"/>
                <w:color w:val="auto"/>
                <w:sz w:val="24"/>
                <w:szCs w:val="24"/>
              </w:rPr>
            </w:pPr>
          </w:p>
        </w:tc>
        <w:tc>
          <w:tcPr>
            <w:tcW w:w="607" w:type="dxa"/>
            <w:vMerge w:val="restar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自然人</w:t>
            </w:r>
          </w:p>
        </w:tc>
        <w:tc>
          <w:tcPr>
            <w:tcW w:w="3004" w:type="dxa"/>
            <w:gridSpan w:val="5"/>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法人或其他组织</w:t>
            </w:r>
          </w:p>
        </w:tc>
        <w:tc>
          <w:tcPr>
            <w:tcW w:w="1812" w:type="dxa"/>
            <w:vMerge w:val="restart"/>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107" w:type="dxa"/>
            <w:gridSpan w:val="3"/>
            <w:vMerge w:val="continue"/>
            <w:tcBorders>
              <w:top w:val="single" w:color="00000A" w:sz="8"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280" w:lineRule="exact"/>
              <w:ind w:left="0" w:leftChars="0" w:right="0"/>
              <w:textAlignment w:val="auto"/>
              <w:rPr>
                <w:rFonts w:hint="default" w:ascii="Times New Roman" w:hAnsi="Times New Roman" w:cs="Times New Roman"/>
                <w:color w:val="auto"/>
                <w:sz w:val="24"/>
                <w:szCs w:val="24"/>
              </w:rPr>
            </w:pPr>
          </w:p>
        </w:tc>
        <w:tc>
          <w:tcPr>
            <w:tcW w:w="607"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280" w:lineRule="exact"/>
              <w:ind w:left="0" w:leftChars="0" w:right="0"/>
              <w:textAlignment w:val="auto"/>
              <w:rPr>
                <w:rFonts w:hint="default" w:ascii="Times New Roman" w:hAnsi="Times New Roman" w:cs="Times New Roman"/>
                <w:color w:val="auto"/>
                <w:sz w:val="24"/>
                <w:szCs w:val="24"/>
              </w:rPr>
            </w:pP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商业企业</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科研机构</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社会公益组织</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法律服务机构</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其他</w:t>
            </w:r>
          </w:p>
        </w:tc>
        <w:tc>
          <w:tcPr>
            <w:tcW w:w="1812" w:type="dxa"/>
            <w:vMerge w:val="continue"/>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line="280" w:lineRule="exact"/>
              <w:ind w:left="0" w:leftChars="0" w:right="0"/>
              <w:textAlignment w:val="auto"/>
              <w:rPr>
                <w:rFonts w:hint="default" w:ascii="Times New Roman" w:hAnsi="Times New Roman"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5107" w:type="dxa"/>
            <w:gridSpan w:val="3"/>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textAlignment w:val="auto"/>
              <w:rPr>
                <w:rFonts w:hint="default" w:ascii="Times New Roman" w:hAnsi="Times New Roman" w:cs="Times New Roman"/>
                <w:color w:val="auto"/>
                <w:sz w:val="19"/>
                <w:szCs w:val="19"/>
              </w:rPr>
            </w:pPr>
            <w:bookmarkStart w:id="0" w:name="_Hlk66973412"/>
            <w:bookmarkEnd w:id="0"/>
            <w:r>
              <w:rPr>
                <w:rFonts w:hint="default" w:ascii="Times New Roman" w:hAnsi="Times New Roman" w:eastAsia="黑体" w:cs="Times New Roman"/>
                <w:color w:val="auto"/>
                <w:sz w:val="19"/>
                <w:szCs w:val="19"/>
              </w:rPr>
              <w:t>一、本年新收政府信息公开申请数量</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eastAsia="宋体" w:cs="Times New Roman"/>
                <w:color w:val="auto"/>
                <w:sz w:val="19"/>
                <w:szCs w:val="19"/>
                <w:lang w:eastAsia="zh-CN"/>
              </w:rPr>
            </w:pPr>
            <w:r>
              <w:rPr>
                <w:rFonts w:hint="default" w:ascii="Times New Roman" w:hAnsi="Times New Roman" w:eastAsia="仿宋_GB2312" w:cs="Times New Roman"/>
                <w:color w:val="auto"/>
                <w:sz w:val="19"/>
                <w:szCs w:val="19"/>
                <w:shd w:val="clear" w:color="auto" w:fill="auto"/>
                <w:lang w:val="en-US" w:eastAsia="zh-CN"/>
              </w:rPr>
              <w:t>2</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eastAsia="宋体" w:cs="Times New Roman"/>
                <w:color w:val="auto"/>
                <w:sz w:val="19"/>
                <w:szCs w:val="19"/>
                <w:lang w:eastAsia="zh-CN"/>
              </w:rPr>
            </w:pPr>
            <w:r>
              <w:rPr>
                <w:rFonts w:hint="default" w:ascii="Times New Roman" w:hAnsi="Times New Roman" w:eastAsia="仿宋_GB2312" w:cs="Times New Roman"/>
                <w:color w:val="auto"/>
                <w:sz w:val="19"/>
                <w:szCs w:val="19"/>
                <w:shd w:val="clear" w:color="auto" w:fill="auto"/>
                <w:lang w:val="en-US" w:eastAsia="zh-CN"/>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107" w:type="dxa"/>
            <w:gridSpan w:val="3"/>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二、上年结转政府信息公开申请数量</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10" w:type="dxa"/>
            <w:vMerge w:val="restart"/>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三、本年度办理结果</w:t>
            </w:r>
          </w:p>
        </w:tc>
        <w:tc>
          <w:tcPr>
            <w:tcW w:w="4497" w:type="dxa"/>
            <w:gridSpan w:val="2"/>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（一）予以公开</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eastAsia="宋体" w:cs="Times New Roman"/>
                <w:color w:val="auto"/>
                <w:sz w:val="19"/>
                <w:szCs w:val="19"/>
                <w:lang w:eastAsia="zh-CN"/>
              </w:rPr>
            </w:pPr>
            <w:r>
              <w:rPr>
                <w:rFonts w:hint="default" w:ascii="Times New Roman" w:hAnsi="Times New Roman" w:eastAsia="仿宋_GB2312" w:cs="Times New Roman"/>
                <w:color w:val="auto"/>
                <w:sz w:val="19"/>
                <w:szCs w:val="19"/>
                <w:shd w:val="clear" w:color="auto" w:fill="auto"/>
                <w:lang w:val="en-US" w:eastAsia="zh-CN"/>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eastAsia="宋体" w:cs="Times New Roman"/>
                <w:color w:val="auto"/>
                <w:sz w:val="19"/>
                <w:szCs w:val="19"/>
                <w:lang w:eastAsia="zh-CN"/>
              </w:rPr>
            </w:pPr>
            <w:r>
              <w:rPr>
                <w:rFonts w:hint="default" w:ascii="Times New Roman" w:hAnsi="Times New Roman" w:eastAsia="仿宋_GB2312" w:cs="Times New Roman"/>
                <w:color w:val="auto"/>
                <w:sz w:val="19"/>
                <w:szCs w:val="19"/>
                <w:shd w:val="clear" w:color="auto" w:fill="auto"/>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4497" w:type="dxa"/>
            <w:gridSpan w:val="2"/>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textAlignment w:val="auto"/>
              <w:rPr>
                <w:rFonts w:hint="default" w:ascii="Times New Roman" w:hAnsi="Times New Roman" w:cs="Times New Roman"/>
                <w:color w:val="auto"/>
                <w:sz w:val="19"/>
                <w:szCs w:val="19"/>
              </w:rPr>
            </w:pPr>
            <w:bookmarkStart w:id="1" w:name="_Hlk66973981"/>
            <w:bookmarkEnd w:id="1"/>
            <w:r>
              <w:rPr>
                <w:rFonts w:hint="default" w:ascii="Times New Roman" w:hAnsi="Times New Roman" w:eastAsia="黑体" w:cs="Times New Roman"/>
                <w:color w:val="auto"/>
                <w:sz w:val="19"/>
                <w:szCs w:val="19"/>
              </w:rPr>
              <w:t>（二）部分公开（区分处理的，只计这一情形，不计其他情形）</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4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restar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pacing w:val="0"/>
                <w:sz w:val="18"/>
                <w:szCs w:val="18"/>
              </w:rPr>
            </w:pPr>
            <w:r>
              <w:rPr>
                <w:rFonts w:hint="default" w:ascii="Times New Roman" w:hAnsi="Times New Roman" w:eastAsia="黑体" w:cs="Times New Roman"/>
                <w:color w:val="auto"/>
                <w:spacing w:val="0"/>
                <w:sz w:val="18"/>
                <w:szCs w:val="18"/>
              </w:rPr>
              <w:t>（三）不予公开</w:t>
            </w: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1.属于国家秘密</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pacing w:val="0"/>
                <w:sz w:val="18"/>
                <w:szCs w:val="18"/>
              </w:rPr>
            </w:pP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bookmarkStart w:id="2" w:name="_Hlk66974104"/>
            <w:bookmarkEnd w:id="2"/>
            <w:r>
              <w:rPr>
                <w:rFonts w:hint="default" w:ascii="Times New Roman" w:hAnsi="Times New Roman" w:eastAsia="仿宋_GB2312" w:cs="Times New Roman"/>
                <w:color w:val="auto"/>
                <w:sz w:val="19"/>
                <w:szCs w:val="19"/>
              </w:rPr>
              <w:t>2.其他法律行政法规禁止公开</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pacing w:val="0"/>
                <w:sz w:val="18"/>
                <w:szCs w:val="18"/>
              </w:rPr>
            </w:pP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3.危及“三安全一稳定”</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pacing w:val="0"/>
                <w:sz w:val="18"/>
                <w:szCs w:val="18"/>
              </w:rPr>
            </w:pP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bookmarkStart w:id="3" w:name="_Hlk66974290"/>
            <w:bookmarkEnd w:id="3"/>
            <w:r>
              <w:rPr>
                <w:rFonts w:hint="default" w:ascii="Times New Roman" w:hAnsi="Times New Roman" w:eastAsia="仿宋_GB2312" w:cs="Times New Roman"/>
                <w:color w:val="auto"/>
                <w:sz w:val="19"/>
                <w:szCs w:val="19"/>
              </w:rPr>
              <w:t>4.保护第三方合法权益</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pacing w:val="0"/>
                <w:sz w:val="18"/>
                <w:szCs w:val="18"/>
              </w:rPr>
            </w:pP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5.属于三类内部事务信息</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pacing w:val="0"/>
                <w:sz w:val="18"/>
                <w:szCs w:val="18"/>
              </w:rPr>
            </w:pP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bookmarkStart w:id="4" w:name="_Hlk66974555"/>
            <w:bookmarkEnd w:id="4"/>
            <w:r>
              <w:rPr>
                <w:rFonts w:hint="default" w:ascii="Times New Roman" w:hAnsi="Times New Roman" w:eastAsia="仿宋_GB2312" w:cs="Times New Roman"/>
                <w:color w:val="auto"/>
                <w:sz w:val="19"/>
                <w:szCs w:val="19"/>
              </w:rPr>
              <w:t>6.属于四类过程性信息</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pacing w:val="0"/>
                <w:sz w:val="18"/>
                <w:szCs w:val="18"/>
              </w:rPr>
            </w:pP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7.属于行政执法案卷</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pacing w:val="0"/>
                <w:sz w:val="18"/>
                <w:szCs w:val="18"/>
              </w:rPr>
            </w:pP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bookmarkStart w:id="5" w:name="_Hlk66975211"/>
            <w:bookmarkEnd w:id="5"/>
            <w:r>
              <w:rPr>
                <w:rFonts w:hint="default" w:ascii="Times New Roman" w:hAnsi="Times New Roman" w:eastAsia="仿宋_GB2312" w:cs="Times New Roman"/>
                <w:color w:val="auto"/>
                <w:sz w:val="19"/>
                <w:szCs w:val="19"/>
              </w:rPr>
              <w:t>8.属于行政查询事项</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restar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pacing w:val="0"/>
                <w:sz w:val="18"/>
                <w:szCs w:val="18"/>
              </w:rPr>
            </w:pPr>
            <w:r>
              <w:rPr>
                <w:rFonts w:hint="default" w:ascii="Times New Roman" w:hAnsi="Times New Roman" w:eastAsia="黑体" w:cs="Times New Roman"/>
                <w:color w:val="auto"/>
                <w:spacing w:val="0"/>
                <w:sz w:val="18"/>
                <w:szCs w:val="18"/>
              </w:rPr>
              <w:t>（四）无法提供</w:t>
            </w: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1.本机关不掌握相关政府信息</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eastAsia="宋体" w:cs="Times New Roman"/>
                <w:color w:val="auto"/>
                <w:sz w:val="19"/>
                <w:szCs w:val="19"/>
                <w:lang w:eastAsia="zh-CN"/>
              </w:rPr>
            </w:pPr>
            <w:r>
              <w:rPr>
                <w:rFonts w:hint="default" w:ascii="Times New Roman" w:hAnsi="Times New Roman" w:eastAsia="仿宋_GB2312" w:cs="Times New Roman"/>
                <w:color w:val="auto"/>
                <w:sz w:val="19"/>
                <w:szCs w:val="19"/>
                <w:lang w:val="en-US" w:eastAsia="zh-CN"/>
              </w:rPr>
              <w:t>2</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eastAsia="宋体" w:cs="Times New Roman"/>
                <w:color w:val="auto"/>
                <w:sz w:val="19"/>
                <w:szCs w:val="19"/>
                <w:lang w:eastAsia="zh-CN"/>
              </w:rPr>
            </w:pPr>
            <w:r>
              <w:rPr>
                <w:rFonts w:hint="default" w:ascii="Times New Roman" w:hAnsi="Times New Roman" w:eastAsia="仿宋_GB2312" w:cs="Times New Roman"/>
                <w:color w:val="auto"/>
                <w:sz w:val="19"/>
                <w:szCs w:val="19"/>
                <w:lang w:val="en-US" w:eastAsia="zh-CN"/>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pacing w:val="0"/>
                <w:sz w:val="18"/>
                <w:szCs w:val="18"/>
              </w:rPr>
            </w:pP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bookmarkStart w:id="6" w:name="_Hlk66975392"/>
            <w:bookmarkEnd w:id="6"/>
            <w:r>
              <w:rPr>
                <w:rFonts w:hint="default" w:ascii="Times New Roman" w:hAnsi="Times New Roman" w:eastAsia="仿宋_GB2312" w:cs="Times New Roman"/>
                <w:color w:val="auto"/>
                <w:sz w:val="19"/>
                <w:szCs w:val="19"/>
              </w:rPr>
              <w:t>2.没有现成信息需要另行制作</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pacing w:val="0"/>
                <w:sz w:val="18"/>
                <w:szCs w:val="18"/>
              </w:rPr>
            </w:pP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bookmarkStart w:id="7" w:name="_Hlk66975466"/>
            <w:bookmarkEnd w:id="7"/>
            <w:r>
              <w:rPr>
                <w:rFonts w:hint="default" w:ascii="Times New Roman" w:hAnsi="Times New Roman" w:eastAsia="仿宋_GB2312" w:cs="Times New Roman"/>
                <w:color w:val="auto"/>
                <w:sz w:val="19"/>
                <w:szCs w:val="19"/>
              </w:rPr>
              <w:t>3.补正后申请内容仍不明确</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restar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pacing w:val="0"/>
                <w:sz w:val="18"/>
                <w:szCs w:val="18"/>
              </w:rPr>
            </w:pPr>
            <w:r>
              <w:rPr>
                <w:rFonts w:hint="default" w:ascii="Times New Roman" w:hAnsi="Times New Roman" w:eastAsia="黑体" w:cs="Times New Roman"/>
                <w:color w:val="auto"/>
                <w:spacing w:val="0"/>
                <w:sz w:val="18"/>
                <w:szCs w:val="18"/>
              </w:rPr>
              <w:t>（五）不予处理</w:t>
            </w: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bookmarkStart w:id="8" w:name="_Hlk66975537"/>
            <w:bookmarkEnd w:id="8"/>
            <w:r>
              <w:rPr>
                <w:rFonts w:hint="default" w:ascii="Times New Roman" w:hAnsi="Times New Roman" w:eastAsia="仿宋_GB2312" w:cs="Times New Roman"/>
                <w:color w:val="auto"/>
                <w:sz w:val="19"/>
                <w:szCs w:val="19"/>
              </w:rPr>
              <w:t>1.信访举报投诉类申请</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pacing w:val="0"/>
                <w:sz w:val="18"/>
                <w:szCs w:val="18"/>
              </w:rPr>
            </w:pP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2.重复申请</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pacing w:val="0"/>
                <w:sz w:val="18"/>
                <w:szCs w:val="18"/>
              </w:rPr>
            </w:pP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3.要求提供公开出版物</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pacing w:val="0"/>
                <w:sz w:val="18"/>
                <w:szCs w:val="18"/>
              </w:rPr>
            </w:pP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4.无正当理由大量反复申请</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pacing w:val="0"/>
                <w:sz w:val="18"/>
                <w:szCs w:val="18"/>
              </w:rPr>
            </w:pPr>
          </w:p>
        </w:tc>
        <w:tc>
          <w:tcPr>
            <w:tcW w:w="3044"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5.要求行政机关确认或重新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出具已获取信息</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5"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restart"/>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pacing w:val="0"/>
                <w:sz w:val="18"/>
                <w:szCs w:val="18"/>
              </w:rPr>
            </w:pPr>
            <w:r>
              <w:rPr>
                <w:rFonts w:hint="default" w:ascii="Times New Roman" w:hAnsi="Times New Roman" w:eastAsia="黑体" w:cs="Times New Roman"/>
                <w:color w:val="auto"/>
                <w:spacing w:val="0"/>
                <w:sz w:val="18"/>
                <w:szCs w:val="18"/>
              </w:rPr>
              <w:t>（六）其他处理</w:t>
            </w:r>
          </w:p>
        </w:tc>
        <w:tc>
          <w:tcPr>
            <w:tcW w:w="3044" w:type="dxa"/>
            <w:tcBorders>
              <w:top w:val="single" w:color="00000A" w:sz="6" w:space="0"/>
              <w:left w:val="single" w:color="00000A" w:sz="6" w:space="0"/>
              <w:bottom w:val="single" w:color="00000A" w:sz="6" w:space="0"/>
              <w:right w:val="single" w:color="00000A" w:sz="6"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1.申请人无正当理由逾期不补正、行政</w:t>
            </w:r>
            <w:r>
              <w:rPr>
                <w:rFonts w:hint="default" w:ascii="Times New Roman" w:hAnsi="Times New Roman" w:eastAsia="仿宋_GB2312" w:cs="Times New Roman"/>
                <w:color w:val="auto"/>
                <w:spacing w:val="-6"/>
                <w:sz w:val="19"/>
                <w:szCs w:val="19"/>
              </w:rPr>
              <w:t>机关不再处理其政府信息公开申请</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85"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3044" w:type="dxa"/>
            <w:tcBorders>
              <w:top w:val="single" w:color="00000A" w:sz="6" w:space="0"/>
              <w:left w:val="single" w:color="00000A" w:sz="6" w:space="0"/>
              <w:bottom w:val="single" w:color="00000A" w:sz="6" w:space="0"/>
              <w:right w:val="single" w:color="00000A" w:sz="6"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2.申请人逾期未按收费通知要求缴纳费用、行政机关不再处理其政府信息公开申请</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1453" w:type="dxa"/>
            <w:vMerge w:val="continue"/>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3044" w:type="dxa"/>
            <w:tcBorders>
              <w:top w:val="single" w:color="00000A" w:sz="6" w:space="0"/>
              <w:left w:val="single" w:color="00000A" w:sz="6" w:space="0"/>
              <w:bottom w:val="single" w:color="00000A" w:sz="6" w:space="0"/>
              <w:right w:val="single" w:color="00000A" w:sz="6"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3.其他</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610" w:type="dxa"/>
            <w:vMerge w:val="continue"/>
            <w:tcBorders>
              <w:top w:val="single" w:color="00000A" w:sz="6" w:space="0"/>
              <w:left w:val="single" w:color="00000A" w:sz="8" w:space="0"/>
              <w:bottom w:val="single" w:color="00000A" w:sz="6" w:space="0"/>
              <w:right w:val="single" w:color="00000A" w:sz="6" w:space="0"/>
            </w:tcBorders>
            <w:noWrap w:val="0"/>
            <w:tcMar>
              <w:left w:w="115" w:type="dxa"/>
              <w:right w:w="1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Autospacing="0" w:afterAutospacing="0"/>
              <w:ind w:left="0" w:leftChars="0" w:right="0"/>
              <w:textAlignment w:val="auto"/>
              <w:rPr>
                <w:rFonts w:hint="default" w:ascii="Times New Roman" w:hAnsi="Times New Roman" w:cs="Times New Roman"/>
                <w:color w:val="auto"/>
                <w:sz w:val="24"/>
                <w:szCs w:val="24"/>
              </w:rPr>
            </w:pPr>
          </w:p>
        </w:tc>
        <w:tc>
          <w:tcPr>
            <w:tcW w:w="4497" w:type="dxa"/>
            <w:gridSpan w:val="2"/>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（七）总计</w:t>
            </w:r>
          </w:p>
        </w:tc>
        <w:tc>
          <w:tcPr>
            <w:tcW w:w="607"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eastAsia="宋体" w:cs="Times New Roman"/>
                <w:color w:val="auto"/>
                <w:sz w:val="19"/>
                <w:szCs w:val="19"/>
                <w:lang w:eastAsia="zh-CN"/>
              </w:rPr>
            </w:pPr>
            <w:r>
              <w:rPr>
                <w:rFonts w:hint="default" w:ascii="Times New Roman" w:hAnsi="Times New Roman" w:eastAsia="仿宋_GB2312" w:cs="Times New Roman"/>
                <w:color w:val="auto"/>
                <w:sz w:val="19"/>
                <w:szCs w:val="19"/>
                <w:shd w:val="clear" w:color="auto" w:fill="auto"/>
                <w:lang w:val="en-US" w:eastAsia="zh-CN"/>
              </w:rPr>
              <w:t>2</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6"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6"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eastAsia="宋体" w:cs="Times New Roman"/>
                <w:color w:val="auto"/>
                <w:sz w:val="19"/>
                <w:szCs w:val="19"/>
                <w:lang w:eastAsia="zh-CN"/>
              </w:rPr>
            </w:pPr>
            <w:r>
              <w:rPr>
                <w:rFonts w:hint="default" w:ascii="Times New Roman" w:hAnsi="Times New Roman" w:eastAsia="仿宋_GB2312" w:cs="Times New Roman"/>
                <w:color w:val="auto"/>
                <w:sz w:val="19"/>
                <w:szCs w:val="19"/>
                <w:shd w:val="clear" w:color="auto" w:fill="auto"/>
                <w:lang w:val="en-US" w:eastAsia="zh-CN"/>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107" w:type="dxa"/>
            <w:gridSpan w:val="3"/>
            <w:tcBorders>
              <w:top w:val="single" w:color="00000A" w:sz="6" w:space="0"/>
              <w:left w:val="single" w:color="00000A" w:sz="8" w:space="0"/>
              <w:bottom w:val="single" w:color="00000A" w:sz="8" w:space="0"/>
              <w:right w:val="single" w:color="00000A" w:sz="6" w:space="0"/>
            </w:tcBorders>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textAlignment w:val="auto"/>
              <w:rPr>
                <w:rFonts w:hint="default" w:ascii="Times New Roman" w:hAnsi="Times New Roman" w:cs="Times New Roman"/>
                <w:color w:val="auto"/>
                <w:sz w:val="19"/>
                <w:szCs w:val="19"/>
              </w:rPr>
            </w:pPr>
            <w:r>
              <w:rPr>
                <w:rFonts w:hint="default" w:ascii="Times New Roman" w:hAnsi="Times New Roman" w:eastAsia="黑体" w:cs="Times New Roman"/>
                <w:color w:val="auto"/>
                <w:sz w:val="19"/>
                <w:szCs w:val="19"/>
              </w:rPr>
              <w:t>四、结转下年度继续办理</w:t>
            </w:r>
          </w:p>
        </w:tc>
        <w:tc>
          <w:tcPr>
            <w:tcW w:w="607" w:type="dxa"/>
            <w:tcBorders>
              <w:top w:val="single" w:color="00000A" w:sz="6" w:space="0"/>
              <w:left w:val="single" w:color="00000A" w:sz="6" w:space="0"/>
              <w:bottom w:val="single" w:color="00000A" w:sz="8"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8"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20" w:type="dxa"/>
            <w:tcBorders>
              <w:top w:val="single" w:color="00000A" w:sz="6" w:space="0"/>
              <w:left w:val="single" w:color="00000A" w:sz="6" w:space="0"/>
              <w:bottom w:val="single" w:color="00000A" w:sz="8"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520" w:type="dxa"/>
            <w:tcBorders>
              <w:top w:val="single" w:color="00000A" w:sz="6" w:space="0"/>
              <w:left w:val="single" w:color="00000A" w:sz="6" w:space="0"/>
              <w:bottom w:val="single" w:color="00000A" w:sz="8"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492" w:type="dxa"/>
            <w:tcBorders>
              <w:top w:val="single" w:color="00000A" w:sz="6" w:space="0"/>
              <w:left w:val="single" w:color="00000A" w:sz="6" w:space="0"/>
              <w:bottom w:val="single" w:color="00000A" w:sz="8"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152" w:type="dxa"/>
            <w:tcBorders>
              <w:top w:val="single" w:color="00000A" w:sz="6" w:space="0"/>
              <w:left w:val="single" w:color="00000A" w:sz="6" w:space="0"/>
              <w:bottom w:val="single" w:color="00000A" w:sz="8" w:space="0"/>
              <w:right w:val="single" w:color="00000A" w:sz="6"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c>
          <w:tcPr>
            <w:tcW w:w="1812" w:type="dxa"/>
            <w:tcBorders>
              <w:top w:val="single" w:color="00000A" w:sz="6" w:space="0"/>
              <w:left w:val="single" w:color="00000A" w:sz="6" w:space="0"/>
              <w:bottom w:val="single" w:color="00000A" w:sz="8" w:space="0"/>
              <w:right w:val="single" w:color="00000A" w:sz="8" w:space="0"/>
            </w:tcBorders>
            <w:noWrap w:val="0"/>
            <w:tcMar>
              <w:left w:w="115" w:type="dxa"/>
              <w:right w:w="115"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26" w:lineRule="atLeas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eastAsia="仿宋_GB2312" w:cs="Times New Roman"/>
                <w:color w:val="auto"/>
                <w:sz w:val="19"/>
                <w:szCs w:val="19"/>
              </w:rPr>
              <w:t>0</w:t>
            </w:r>
          </w:p>
        </w:tc>
      </w:tr>
    </w:tbl>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630" w:lineRule="atLeast"/>
        <w:ind w:left="0" w:leftChars="0" w:right="0" w:firstLine="640" w:firstLineChars="200"/>
        <w:jc w:val="both"/>
        <w:textAlignment w:val="auto"/>
        <w:rPr>
          <w:rFonts w:hint="default" w:ascii="Times New Roman" w:hAnsi="Times New Roman" w:eastAsia="黑体"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政府信息公开行政复议、行政诉讼情况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before="0" w:beforeAutospacing="0" w:after="0" w:afterAutospacing="0" w:line="630" w:lineRule="atLeast"/>
        <w:ind w:left="0" w:leftChars="0" w:right="0" w:rightChars="0"/>
        <w:jc w:val="both"/>
        <w:textAlignment w:val="auto"/>
        <w:rPr>
          <w:rFonts w:hint="default" w:ascii="Times New Roman" w:hAnsi="Times New Roman" w:eastAsia="黑体" w:cs="Times New Roman"/>
          <w:i w:val="0"/>
          <w:caps w:val="0"/>
          <w:color w:val="auto"/>
          <w:spacing w:val="0"/>
          <w:sz w:val="32"/>
          <w:szCs w:val="32"/>
          <w:shd w:val="clear" w:color="auto" w:fill="FFFFFF"/>
        </w:rPr>
      </w:pPr>
    </w:p>
    <w:tbl>
      <w:tblPr>
        <w:tblStyle w:val="4"/>
        <w:tblW w:w="8504"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681"/>
        <w:gridCol w:w="577"/>
        <w:gridCol w:w="654"/>
        <w:gridCol w:w="674"/>
        <w:gridCol w:w="402"/>
        <w:gridCol w:w="577"/>
        <w:gridCol w:w="577"/>
        <w:gridCol w:w="577"/>
        <w:gridCol w:w="577"/>
        <w:gridCol w:w="577"/>
        <w:gridCol w:w="565"/>
        <w:gridCol w:w="574"/>
        <w:gridCol w:w="606"/>
        <w:gridCol w:w="585"/>
        <w:gridCol w:w="30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2988" w:type="dxa"/>
            <w:gridSpan w:val="5"/>
            <w:tcBorders>
              <w:top w:val="single" w:color="00000A" w:sz="8" w:space="0"/>
              <w:left w:val="single" w:color="00000A" w:sz="8" w:space="0"/>
              <w:bottom w:val="single" w:color="00000A" w:sz="8" w:space="0"/>
              <w:right w:val="single" w:color="00000A" w:sz="8" w:space="0"/>
            </w:tcBorders>
            <w:shd w:val="clear" w:color="auto" w:fill="auto"/>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22"/>
                <w:szCs w:val="22"/>
                <w:highlight w:val="none"/>
              </w:rPr>
            </w:pPr>
            <w:r>
              <w:rPr>
                <w:rFonts w:hint="default" w:ascii="Times New Roman" w:hAnsi="Times New Roman" w:eastAsia="黑体" w:cs="Times New Roman"/>
                <w:color w:val="auto"/>
                <w:sz w:val="22"/>
                <w:szCs w:val="22"/>
                <w:highlight w:val="none"/>
              </w:rPr>
              <w:t>行政复议</w:t>
            </w:r>
          </w:p>
        </w:tc>
        <w:tc>
          <w:tcPr>
            <w:tcW w:w="5516" w:type="dxa"/>
            <w:gridSpan w:val="10"/>
            <w:tcBorders>
              <w:top w:val="single" w:color="00000A" w:sz="8" w:space="0"/>
              <w:left w:val="nil"/>
              <w:bottom w:val="single" w:color="00000A" w:sz="8" w:space="0"/>
              <w:right w:val="single" w:color="00000A" w:sz="8" w:space="0"/>
            </w:tcBorders>
            <w:shd w:val="clear" w:color="auto" w:fill="auto"/>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leftChars="0" w:right="0" w:firstLine="0"/>
              <w:jc w:val="center"/>
              <w:textAlignment w:val="auto"/>
              <w:rPr>
                <w:rFonts w:hint="default" w:ascii="Times New Roman" w:hAnsi="Times New Roman" w:cs="Times New Roman"/>
                <w:color w:val="auto"/>
                <w:sz w:val="22"/>
                <w:szCs w:val="22"/>
              </w:rPr>
            </w:pPr>
            <w:r>
              <w:rPr>
                <w:rFonts w:hint="default" w:ascii="Times New Roman" w:hAnsi="Times New Roman" w:eastAsia="黑体" w:cs="Times New Roman"/>
                <w:color w:val="auto"/>
                <w:sz w:val="22"/>
                <w:szCs w:val="22"/>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81" w:type="dxa"/>
            <w:vMerge w:val="restart"/>
            <w:tcBorders>
              <w:top w:val="nil"/>
              <w:left w:val="single" w:color="00000A" w:sz="8" w:space="0"/>
              <w:bottom w:val="single" w:color="00000A" w:sz="8" w:space="0"/>
              <w:right w:val="single" w:color="00000A" w:sz="8" w:space="0"/>
            </w:tcBorders>
            <w:shd w:val="clear" w:color="auto" w:fill="auto"/>
            <w:noWrap w:val="0"/>
            <w:tcMar>
              <w:left w:w="115" w:type="dxa"/>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b w:val="0"/>
                <w:bCs w:val="0"/>
                <w:color w:val="auto"/>
                <w:sz w:val="22"/>
                <w:szCs w:val="28"/>
                <w:highlight w:val="none"/>
              </w:rPr>
            </w:pPr>
            <w:r>
              <w:rPr>
                <w:rFonts w:hint="default" w:ascii="Times New Roman" w:hAnsi="Times New Roman" w:cs="Times New Roman"/>
                <w:b w:val="0"/>
                <w:bCs w:val="0"/>
                <w:color w:val="auto"/>
                <w:sz w:val="22"/>
                <w:szCs w:val="28"/>
                <w:highlight w:val="none"/>
              </w:rPr>
              <w:t>结果</w:t>
            </w:r>
          </w:p>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b w:val="0"/>
                <w:bCs w:val="0"/>
                <w:color w:val="auto"/>
                <w:sz w:val="22"/>
                <w:szCs w:val="28"/>
                <w:highlight w:val="none"/>
              </w:rPr>
            </w:pPr>
            <w:r>
              <w:rPr>
                <w:rFonts w:hint="default" w:ascii="Times New Roman" w:hAnsi="Times New Roman" w:cs="Times New Roman"/>
                <w:b w:val="0"/>
                <w:bCs w:val="0"/>
                <w:color w:val="auto"/>
                <w:sz w:val="22"/>
                <w:szCs w:val="28"/>
                <w:highlight w:val="none"/>
              </w:rPr>
              <w:t>维持</w:t>
            </w:r>
          </w:p>
        </w:tc>
        <w:tc>
          <w:tcPr>
            <w:tcW w:w="577" w:type="dxa"/>
            <w:vMerge w:val="restart"/>
            <w:tcBorders>
              <w:top w:val="nil"/>
              <w:left w:val="nil"/>
              <w:bottom w:val="single" w:color="00000A" w:sz="8" w:space="0"/>
              <w:right w:val="single" w:color="00000A" w:sz="8" w:space="0"/>
            </w:tcBorders>
            <w:shd w:val="clear" w:color="auto" w:fill="auto"/>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b w:val="0"/>
                <w:bCs w:val="0"/>
                <w:color w:val="auto"/>
                <w:sz w:val="22"/>
                <w:szCs w:val="28"/>
                <w:highlight w:val="none"/>
              </w:rPr>
            </w:pPr>
            <w:r>
              <w:rPr>
                <w:rFonts w:hint="default" w:ascii="Times New Roman" w:hAnsi="Times New Roman" w:cs="Times New Roman"/>
                <w:b w:val="0"/>
                <w:bCs w:val="0"/>
                <w:color w:val="auto"/>
                <w:sz w:val="22"/>
                <w:szCs w:val="28"/>
                <w:highlight w:val="none"/>
              </w:rPr>
              <w:t>结果</w:t>
            </w:r>
          </w:p>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b w:val="0"/>
                <w:bCs w:val="0"/>
                <w:color w:val="auto"/>
                <w:sz w:val="22"/>
                <w:szCs w:val="28"/>
                <w:highlight w:val="none"/>
              </w:rPr>
            </w:pPr>
            <w:r>
              <w:rPr>
                <w:rFonts w:hint="default" w:ascii="Times New Roman" w:hAnsi="Times New Roman" w:cs="Times New Roman"/>
                <w:b w:val="0"/>
                <w:bCs w:val="0"/>
                <w:color w:val="auto"/>
                <w:sz w:val="22"/>
                <w:szCs w:val="28"/>
                <w:highlight w:val="none"/>
              </w:rPr>
              <w:t>纠正</w:t>
            </w:r>
          </w:p>
        </w:tc>
        <w:tc>
          <w:tcPr>
            <w:tcW w:w="654" w:type="dxa"/>
            <w:vMerge w:val="restart"/>
            <w:tcBorders>
              <w:top w:val="single" w:color="00000A" w:sz="8" w:space="0"/>
              <w:left w:val="nil"/>
              <w:bottom w:val="single" w:color="00000A" w:sz="8" w:space="0"/>
              <w:right w:val="single" w:color="00000A" w:sz="8" w:space="0"/>
            </w:tcBorders>
            <w:shd w:val="clear" w:color="auto" w:fill="auto"/>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b w:val="0"/>
                <w:bCs w:val="0"/>
                <w:color w:val="auto"/>
                <w:sz w:val="22"/>
                <w:szCs w:val="28"/>
                <w:highlight w:val="none"/>
              </w:rPr>
            </w:pPr>
            <w:r>
              <w:rPr>
                <w:rFonts w:hint="default" w:ascii="Times New Roman" w:hAnsi="Times New Roman" w:cs="Times New Roman"/>
                <w:b w:val="0"/>
                <w:bCs w:val="0"/>
                <w:color w:val="auto"/>
                <w:sz w:val="22"/>
                <w:szCs w:val="28"/>
                <w:highlight w:val="none"/>
              </w:rPr>
              <w:t>其他</w:t>
            </w:r>
          </w:p>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b w:val="0"/>
                <w:bCs w:val="0"/>
                <w:color w:val="auto"/>
                <w:sz w:val="22"/>
                <w:szCs w:val="28"/>
                <w:highlight w:val="none"/>
              </w:rPr>
            </w:pPr>
            <w:r>
              <w:rPr>
                <w:rFonts w:hint="default" w:ascii="Times New Roman" w:hAnsi="Times New Roman" w:cs="Times New Roman"/>
                <w:b w:val="0"/>
                <w:bCs w:val="0"/>
                <w:color w:val="auto"/>
                <w:sz w:val="22"/>
                <w:szCs w:val="28"/>
                <w:highlight w:val="none"/>
              </w:rPr>
              <w:t>结果</w:t>
            </w:r>
          </w:p>
        </w:tc>
        <w:tc>
          <w:tcPr>
            <w:tcW w:w="674" w:type="dxa"/>
            <w:vMerge w:val="restart"/>
            <w:tcBorders>
              <w:top w:val="single" w:color="00000A" w:sz="8" w:space="0"/>
              <w:left w:val="nil"/>
              <w:bottom w:val="single" w:color="00000A" w:sz="8" w:space="0"/>
              <w:right w:val="single" w:color="00000A" w:sz="8" w:space="0"/>
            </w:tcBorders>
            <w:shd w:val="clear" w:color="auto" w:fill="auto"/>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b w:val="0"/>
                <w:bCs w:val="0"/>
                <w:color w:val="auto"/>
                <w:sz w:val="22"/>
                <w:szCs w:val="28"/>
                <w:highlight w:val="none"/>
              </w:rPr>
            </w:pPr>
            <w:r>
              <w:rPr>
                <w:rFonts w:hint="default" w:ascii="Times New Roman" w:hAnsi="Times New Roman" w:cs="Times New Roman"/>
                <w:b w:val="0"/>
                <w:bCs w:val="0"/>
                <w:color w:val="auto"/>
                <w:sz w:val="22"/>
                <w:szCs w:val="28"/>
                <w:highlight w:val="none"/>
              </w:rPr>
              <w:t>尚未</w:t>
            </w:r>
          </w:p>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b w:val="0"/>
                <w:bCs w:val="0"/>
                <w:color w:val="auto"/>
                <w:sz w:val="22"/>
                <w:szCs w:val="28"/>
                <w:highlight w:val="none"/>
              </w:rPr>
            </w:pPr>
            <w:r>
              <w:rPr>
                <w:rFonts w:hint="default" w:ascii="Times New Roman" w:hAnsi="Times New Roman" w:cs="Times New Roman"/>
                <w:b w:val="0"/>
                <w:bCs w:val="0"/>
                <w:color w:val="auto"/>
                <w:sz w:val="22"/>
                <w:szCs w:val="28"/>
                <w:highlight w:val="none"/>
              </w:rPr>
              <w:t>审结</w:t>
            </w:r>
          </w:p>
        </w:tc>
        <w:tc>
          <w:tcPr>
            <w:tcW w:w="402" w:type="dxa"/>
            <w:vMerge w:val="restart"/>
            <w:tcBorders>
              <w:top w:val="single" w:color="00000A" w:sz="8" w:space="0"/>
              <w:left w:val="nil"/>
              <w:bottom w:val="single" w:color="00000A" w:sz="8" w:space="0"/>
              <w:right w:val="single" w:color="00000A" w:sz="8" w:space="0"/>
            </w:tcBorders>
            <w:shd w:val="clear" w:color="auto" w:fill="auto"/>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b w:val="0"/>
                <w:bCs w:val="0"/>
                <w:color w:val="auto"/>
                <w:sz w:val="22"/>
                <w:szCs w:val="28"/>
                <w:highlight w:val="none"/>
              </w:rPr>
            </w:pPr>
            <w:r>
              <w:rPr>
                <w:rFonts w:hint="default" w:ascii="Times New Roman" w:hAnsi="Times New Roman" w:cs="Times New Roman"/>
                <w:b w:val="0"/>
                <w:bCs w:val="0"/>
                <w:color w:val="auto"/>
                <w:sz w:val="22"/>
                <w:szCs w:val="28"/>
                <w:highlight w:val="none"/>
              </w:rPr>
              <w:t>总</w:t>
            </w:r>
          </w:p>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b w:val="0"/>
                <w:bCs w:val="0"/>
                <w:color w:val="auto"/>
                <w:sz w:val="22"/>
                <w:szCs w:val="28"/>
                <w:highlight w:val="none"/>
              </w:rPr>
            </w:pPr>
            <w:r>
              <w:rPr>
                <w:rFonts w:hint="default" w:ascii="Times New Roman" w:hAnsi="Times New Roman" w:cs="Times New Roman"/>
                <w:b w:val="0"/>
                <w:bCs w:val="0"/>
                <w:color w:val="auto"/>
                <w:sz w:val="22"/>
                <w:szCs w:val="28"/>
                <w:highlight w:val="none"/>
              </w:rPr>
              <w:t>计</w:t>
            </w:r>
          </w:p>
        </w:tc>
        <w:tc>
          <w:tcPr>
            <w:tcW w:w="2885" w:type="dxa"/>
            <w:gridSpan w:val="5"/>
            <w:tcBorders>
              <w:top w:val="single" w:color="00000A" w:sz="8" w:space="0"/>
              <w:left w:val="nil"/>
              <w:bottom w:val="single" w:color="00000A" w:sz="8" w:space="0"/>
              <w:right w:val="single" w:color="00000A" w:sz="8" w:space="0"/>
            </w:tcBorders>
            <w:shd w:val="clear" w:color="auto" w:fill="auto"/>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未经复议直接起诉</w:t>
            </w:r>
          </w:p>
        </w:tc>
        <w:tc>
          <w:tcPr>
            <w:tcW w:w="2631" w:type="dxa"/>
            <w:gridSpan w:val="5"/>
            <w:tcBorders>
              <w:top w:val="single" w:color="00000A" w:sz="8" w:space="0"/>
              <w:left w:val="nil"/>
              <w:bottom w:val="single" w:color="00000A" w:sz="8" w:space="0"/>
              <w:right w:val="single" w:color="00000A" w:sz="8" w:space="0"/>
            </w:tcBorders>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bookmarkStart w:id="9" w:name="_Hlk67039688"/>
            <w:bookmarkEnd w:id="9"/>
            <w:r>
              <w:rPr>
                <w:rFonts w:hint="default" w:ascii="Times New Roman" w:hAnsi="Times New Roman" w:cs="Times New Roman"/>
                <w:color w:val="auto"/>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81" w:type="dxa"/>
            <w:vMerge w:val="continue"/>
            <w:tcBorders>
              <w:top w:val="nil"/>
              <w:left w:val="single" w:color="00000A" w:sz="8" w:space="0"/>
              <w:bottom w:val="single" w:color="00000A" w:sz="8" w:space="0"/>
              <w:right w:val="single" w:color="00000A" w:sz="8" w:space="0"/>
            </w:tcBorders>
            <w:shd w:val="clear" w:color="auto" w:fill="auto"/>
            <w:noWrap w:val="0"/>
            <w:tcMar>
              <w:left w:w="115" w:type="dxa"/>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highlight w:val="none"/>
              </w:rPr>
            </w:pPr>
          </w:p>
        </w:tc>
        <w:tc>
          <w:tcPr>
            <w:tcW w:w="577" w:type="dxa"/>
            <w:vMerge w:val="continue"/>
            <w:tcBorders>
              <w:top w:val="nil"/>
              <w:left w:val="nil"/>
              <w:bottom w:val="single" w:color="00000A" w:sz="8" w:space="0"/>
              <w:right w:val="single" w:color="00000A" w:sz="8" w:space="0"/>
            </w:tcBorders>
            <w:shd w:val="clear" w:color="auto" w:fill="auto"/>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highlight w:val="none"/>
              </w:rPr>
            </w:pPr>
          </w:p>
        </w:tc>
        <w:tc>
          <w:tcPr>
            <w:tcW w:w="654" w:type="dxa"/>
            <w:vMerge w:val="continue"/>
            <w:tcBorders>
              <w:top w:val="single" w:color="00000A" w:sz="8" w:space="0"/>
              <w:left w:val="nil"/>
              <w:bottom w:val="single" w:color="00000A" w:sz="8" w:space="0"/>
              <w:right w:val="single" w:color="00000A" w:sz="8" w:space="0"/>
            </w:tcBorders>
            <w:shd w:val="clear" w:color="auto" w:fill="auto"/>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highlight w:val="none"/>
              </w:rPr>
            </w:pPr>
          </w:p>
        </w:tc>
        <w:tc>
          <w:tcPr>
            <w:tcW w:w="674" w:type="dxa"/>
            <w:vMerge w:val="continue"/>
            <w:tcBorders>
              <w:top w:val="single" w:color="00000A" w:sz="8" w:space="0"/>
              <w:left w:val="nil"/>
              <w:bottom w:val="single" w:color="00000A" w:sz="8" w:space="0"/>
              <w:right w:val="single" w:color="00000A" w:sz="8" w:space="0"/>
            </w:tcBorders>
            <w:shd w:val="clear" w:color="auto" w:fill="auto"/>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highlight w:val="none"/>
              </w:rPr>
            </w:pPr>
          </w:p>
        </w:tc>
        <w:tc>
          <w:tcPr>
            <w:tcW w:w="402" w:type="dxa"/>
            <w:vMerge w:val="continue"/>
            <w:tcBorders>
              <w:top w:val="single" w:color="00000A" w:sz="8" w:space="0"/>
              <w:left w:val="nil"/>
              <w:bottom w:val="single" w:color="00000A" w:sz="8" w:space="0"/>
              <w:right w:val="single" w:color="00000A" w:sz="8" w:space="0"/>
            </w:tcBorders>
            <w:shd w:val="clear" w:color="auto" w:fill="auto"/>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highlight w:val="none"/>
              </w:rPr>
            </w:pPr>
          </w:p>
        </w:tc>
        <w:tc>
          <w:tcPr>
            <w:tcW w:w="577" w:type="dxa"/>
            <w:tcBorders>
              <w:top w:val="nil"/>
              <w:left w:val="nil"/>
              <w:bottom w:val="single" w:color="00000A" w:sz="8" w:space="0"/>
              <w:right w:val="single" w:color="00000A" w:sz="8" w:space="0"/>
            </w:tcBorders>
            <w:shd w:val="clear" w:color="auto" w:fill="auto"/>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结果</w:t>
            </w:r>
          </w:p>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维持</w:t>
            </w:r>
          </w:p>
        </w:tc>
        <w:tc>
          <w:tcPr>
            <w:tcW w:w="577" w:type="dxa"/>
            <w:tcBorders>
              <w:top w:val="nil"/>
              <w:left w:val="nil"/>
              <w:bottom w:val="single" w:color="00000A" w:sz="8" w:space="0"/>
              <w:right w:val="single" w:color="00000A" w:sz="8" w:space="0"/>
            </w:tcBorders>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结果</w:t>
            </w:r>
          </w:p>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纠正</w:t>
            </w:r>
          </w:p>
        </w:tc>
        <w:tc>
          <w:tcPr>
            <w:tcW w:w="577" w:type="dxa"/>
            <w:tcBorders>
              <w:top w:val="single" w:color="00000A" w:sz="8" w:space="0"/>
              <w:left w:val="nil"/>
              <w:bottom w:val="single" w:color="00000A" w:sz="8" w:space="0"/>
              <w:right w:val="single" w:color="00000A" w:sz="8" w:space="0"/>
            </w:tcBorders>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其他</w:t>
            </w:r>
          </w:p>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结果</w:t>
            </w:r>
          </w:p>
        </w:tc>
        <w:tc>
          <w:tcPr>
            <w:tcW w:w="577" w:type="dxa"/>
            <w:tcBorders>
              <w:top w:val="single" w:color="00000A" w:sz="8" w:space="0"/>
              <w:left w:val="nil"/>
              <w:bottom w:val="single" w:color="00000A" w:sz="8" w:space="0"/>
              <w:right w:val="single" w:color="00000A" w:sz="8" w:space="0"/>
            </w:tcBorders>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尚未</w:t>
            </w:r>
          </w:p>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审结</w:t>
            </w:r>
          </w:p>
        </w:tc>
        <w:tc>
          <w:tcPr>
            <w:tcW w:w="577" w:type="dxa"/>
            <w:tcBorders>
              <w:top w:val="single" w:color="00000A" w:sz="8" w:space="0"/>
              <w:left w:val="nil"/>
              <w:bottom w:val="single" w:color="00000A" w:sz="8" w:space="0"/>
              <w:right w:val="single" w:color="00000A" w:sz="8" w:space="0"/>
            </w:tcBorders>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总</w:t>
            </w:r>
          </w:p>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计</w:t>
            </w:r>
          </w:p>
        </w:tc>
        <w:tc>
          <w:tcPr>
            <w:tcW w:w="565" w:type="dxa"/>
            <w:tcBorders>
              <w:top w:val="single" w:color="00000A" w:sz="8" w:space="0"/>
              <w:left w:val="nil"/>
              <w:bottom w:val="single" w:color="00000A" w:sz="8" w:space="0"/>
              <w:right w:val="single" w:color="00000A" w:sz="8" w:space="0"/>
            </w:tcBorders>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结果</w:t>
            </w:r>
          </w:p>
          <w:p>
            <w:pPr>
              <w:keepNext w:val="0"/>
              <w:keepLines w:val="0"/>
              <w:pageBreakBefore w:val="0"/>
              <w:kinsoku/>
              <w:overflowPunct/>
              <w:topLinePunct w:val="0"/>
              <w:autoSpaceDE/>
              <w:autoSpaceDN/>
              <w:bidi w:val="0"/>
              <w:adjustRightInd/>
              <w:snapToGrid/>
              <w:ind w:left="0" w:leftChars="0"/>
              <w:jc w:val="both"/>
              <w:textAlignment w:val="auto"/>
              <w:rPr>
                <w:rFonts w:hint="default" w:ascii="Times New Roman" w:hAnsi="Times New Roman" w:cs="Times New Roman"/>
                <w:color w:val="auto"/>
              </w:rPr>
            </w:pPr>
            <w:r>
              <w:rPr>
                <w:rFonts w:hint="default" w:ascii="Times New Roman" w:hAnsi="Times New Roman" w:cs="Times New Roman"/>
                <w:color w:val="auto"/>
              </w:rPr>
              <w:t>维持</w:t>
            </w:r>
          </w:p>
        </w:tc>
        <w:tc>
          <w:tcPr>
            <w:tcW w:w="574" w:type="dxa"/>
            <w:tcBorders>
              <w:top w:val="single" w:color="00000A" w:sz="8" w:space="0"/>
              <w:left w:val="nil"/>
              <w:bottom w:val="single" w:color="00000A" w:sz="8" w:space="0"/>
              <w:right w:val="single" w:color="00000A" w:sz="8" w:space="0"/>
            </w:tcBorders>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结果</w:t>
            </w:r>
          </w:p>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纠正</w:t>
            </w:r>
          </w:p>
        </w:tc>
        <w:tc>
          <w:tcPr>
            <w:tcW w:w="606" w:type="dxa"/>
            <w:tcBorders>
              <w:top w:val="single" w:color="00000A" w:sz="8" w:space="0"/>
              <w:left w:val="nil"/>
              <w:bottom w:val="single" w:color="00000A" w:sz="8" w:space="0"/>
              <w:right w:val="single" w:color="00000A" w:sz="8" w:space="0"/>
            </w:tcBorders>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其他</w:t>
            </w:r>
          </w:p>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结果</w:t>
            </w:r>
          </w:p>
        </w:tc>
        <w:tc>
          <w:tcPr>
            <w:tcW w:w="585" w:type="dxa"/>
            <w:tcBorders>
              <w:top w:val="single" w:color="00000A" w:sz="8" w:space="0"/>
              <w:left w:val="nil"/>
              <w:bottom w:val="single" w:color="00000A" w:sz="8" w:space="0"/>
              <w:right w:val="single" w:color="00000A" w:sz="8" w:space="0"/>
            </w:tcBorders>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尚未</w:t>
            </w:r>
          </w:p>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审结</w:t>
            </w:r>
          </w:p>
        </w:tc>
        <w:tc>
          <w:tcPr>
            <w:tcW w:w="301" w:type="dxa"/>
            <w:tcBorders>
              <w:top w:val="single" w:color="00000A" w:sz="8" w:space="0"/>
              <w:left w:val="nil"/>
              <w:bottom w:val="single" w:color="00000A" w:sz="8" w:space="0"/>
              <w:right w:val="single" w:color="00000A" w:sz="8" w:space="0"/>
            </w:tcBorders>
            <w:noWrap w:val="0"/>
            <w:tcMar>
              <w:right w:w="115" w:type="dxa"/>
            </w:tcMar>
            <w:vAlign w:val="top"/>
          </w:tcPr>
          <w:p>
            <w:pPr>
              <w:keepNext w:val="0"/>
              <w:keepLines w:val="0"/>
              <w:pageBreakBefore w:val="0"/>
              <w:kinsoku/>
              <w:overflowPunct/>
              <w:topLinePunct w:val="0"/>
              <w:autoSpaceDE/>
              <w:autoSpaceDN/>
              <w:bidi w:val="0"/>
              <w:adjustRightInd/>
              <w:snapToGrid/>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81" w:type="dxa"/>
            <w:tcBorders>
              <w:top w:val="nil"/>
              <w:left w:val="single" w:color="00000A" w:sz="8" w:space="0"/>
              <w:bottom w:val="single" w:color="00000A" w:sz="8" w:space="0"/>
              <w:right w:val="single" w:color="00000A" w:sz="8" w:space="0"/>
            </w:tcBorders>
            <w:shd w:val="clear" w:color="auto" w:fill="auto"/>
            <w:noWrap w:val="0"/>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eastAsia="宋体" w:cs="Times New Roman"/>
                <w:color w:val="auto"/>
                <w:sz w:val="19"/>
                <w:szCs w:val="19"/>
                <w:highlight w:val="none"/>
                <w:lang w:eastAsia="zh-CN"/>
              </w:rPr>
            </w:pPr>
            <w:r>
              <w:rPr>
                <w:rFonts w:hint="default" w:ascii="Times New Roman" w:hAnsi="Times New Roman" w:cs="Times New Roman"/>
                <w:color w:val="auto"/>
                <w:sz w:val="19"/>
                <w:szCs w:val="19"/>
                <w:highlight w:val="none"/>
                <w:lang w:val="en-US" w:eastAsia="zh-CN"/>
              </w:rPr>
              <w:t>1</w:t>
            </w:r>
          </w:p>
        </w:tc>
        <w:tc>
          <w:tcPr>
            <w:tcW w:w="577" w:type="dxa"/>
            <w:tcBorders>
              <w:top w:val="nil"/>
              <w:left w:val="nil"/>
              <w:bottom w:val="single" w:color="00000A" w:sz="8" w:space="0"/>
              <w:right w:val="single" w:color="00000A" w:sz="8" w:space="0"/>
            </w:tcBorders>
            <w:shd w:val="clear" w:color="auto" w:fill="auto"/>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0</w:t>
            </w:r>
          </w:p>
        </w:tc>
        <w:tc>
          <w:tcPr>
            <w:tcW w:w="654" w:type="dxa"/>
            <w:tcBorders>
              <w:top w:val="nil"/>
              <w:left w:val="nil"/>
              <w:bottom w:val="single" w:color="00000A" w:sz="8" w:space="0"/>
              <w:right w:val="single" w:color="00000A" w:sz="8" w:space="0"/>
            </w:tcBorders>
            <w:shd w:val="clear" w:color="auto" w:fill="auto"/>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0</w:t>
            </w:r>
          </w:p>
        </w:tc>
        <w:tc>
          <w:tcPr>
            <w:tcW w:w="674" w:type="dxa"/>
            <w:tcBorders>
              <w:top w:val="nil"/>
              <w:left w:val="nil"/>
              <w:bottom w:val="single" w:color="00000A" w:sz="8" w:space="0"/>
              <w:right w:val="single" w:color="00000A" w:sz="8" w:space="0"/>
            </w:tcBorders>
            <w:shd w:val="clear" w:color="auto" w:fill="auto"/>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0</w:t>
            </w:r>
          </w:p>
        </w:tc>
        <w:tc>
          <w:tcPr>
            <w:tcW w:w="402" w:type="dxa"/>
            <w:tcBorders>
              <w:top w:val="nil"/>
              <w:left w:val="nil"/>
              <w:bottom w:val="single" w:color="00000A" w:sz="8" w:space="0"/>
              <w:right w:val="single" w:color="00000A" w:sz="8" w:space="0"/>
            </w:tcBorders>
            <w:shd w:val="clear" w:color="auto" w:fill="auto"/>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eastAsia="宋体" w:cs="Times New Roman"/>
                <w:color w:val="auto"/>
                <w:sz w:val="19"/>
                <w:szCs w:val="19"/>
                <w:highlight w:val="none"/>
                <w:lang w:eastAsia="zh-CN"/>
              </w:rPr>
            </w:pPr>
            <w:r>
              <w:rPr>
                <w:rFonts w:hint="default" w:ascii="Times New Roman" w:hAnsi="Times New Roman" w:cs="Times New Roman"/>
                <w:color w:val="auto"/>
                <w:sz w:val="19"/>
                <w:szCs w:val="19"/>
                <w:highlight w:val="none"/>
                <w:lang w:val="en-US" w:eastAsia="zh-CN"/>
              </w:rPr>
              <w:t>1</w:t>
            </w:r>
          </w:p>
        </w:tc>
        <w:tc>
          <w:tcPr>
            <w:tcW w:w="577" w:type="dxa"/>
            <w:tcBorders>
              <w:top w:val="nil"/>
              <w:left w:val="nil"/>
              <w:bottom w:val="single" w:color="00000A" w:sz="8" w:space="0"/>
              <w:right w:val="single" w:color="00000A" w:sz="8" w:space="0"/>
            </w:tcBorders>
            <w:shd w:val="clear" w:color="auto" w:fill="auto"/>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cs="Times New Roman"/>
                <w:color w:val="auto"/>
                <w:sz w:val="19"/>
                <w:szCs w:val="19"/>
              </w:rPr>
              <w:t>0</w:t>
            </w:r>
          </w:p>
        </w:tc>
        <w:tc>
          <w:tcPr>
            <w:tcW w:w="577" w:type="dxa"/>
            <w:tcBorders>
              <w:top w:val="nil"/>
              <w:left w:val="nil"/>
              <w:bottom w:val="single" w:color="00000A" w:sz="8" w:space="0"/>
              <w:right w:val="single" w:color="00000A" w:sz="8" w:space="0"/>
            </w:tcBorders>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cs="Times New Roman"/>
                <w:color w:val="auto"/>
                <w:sz w:val="19"/>
                <w:szCs w:val="19"/>
              </w:rPr>
              <w:t>0</w:t>
            </w:r>
          </w:p>
        </w:tc>
        <w:tc>
          <w:tcPr>
            <w:tcW w:w="577" w:type="dxa"/>
            <w:tcBorders>
              <w:top w:val="nil"/>
              <w:left w:val="nil"/>
              <w:bottom w:val="single" w:color="00000A" w:sz="8" w:space="0"/>
              <w:right w:val="single" w:color="00000A" w:sz="8" w:space="0"/>
            </w:tcBorders>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cs="Times New Roman"/>
                <w:color w:val="auto"/>
                <w:sz w:val="19"/>
                <w:szCs w:val="19"/>
              </w:rPr>
              <w:t>0</w:t>
            </w:r>
          </w:p>
        </w:tc>
        <w:tc>
          <w:tcPr>
            <w:tcW w:w="577" w:type="dxa"/>
            <w:tcBorders>
              <w:top w:val="nil"/>
              <w:left w:val="nil"/>
              <w:bottom w:val="single" w:color="00000A" w:sz="8" w:space="0"/>
              <w:right w:val="single" w:color="00000A" w:sz="8" w:space="0"/>
            </w:tcBorders>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cs="Times New Roman"/>
                <w:color w:val="auto"/>
                <w:sz w:val="19"/>
                <w:szCs w:val="19"/>
              </w:rPr>
              <w:t>0</w:t>
            </w:r>
          </w:p>
        </w:tc>
        <w:tc>
          <w:tcPr>
            <w:tcW w:w="577" w:type="dxa"/>
            <w:tcBorders>
              <w:top w:val="nil"/>
              <w:left w:val="nil"/>
              <w:bottom w:val="single" w:color="00000A" w:sz="8" w:space="0"/>
              <w:right w:val="single" w:color="00000A" w:sz="8" w:space="0"/>
            </w:tcBorders>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cs="Times New Roman"/>
                <w:color w:val="auto"/>
                <w:sz w:val="19"/>
                <w:szCs w:val="19"/>
              </w:rPr>
              <w:t>0</w:t>
            </w:r>
          </w:p>
        </w:tc>
        <w:tc>
          <w:tcPr>
            <w:tcW w:w="565" w:type="dxa"/>
            <w:tcBorders>
              <w:top w:val="nil"/>
              <w:left w:val="nil"/>
              <w:bottom w:val="single" w:color="00000A" w:sz="8" w:space="0"/>
              <w:right w:val="single" w:color="00000A" w:sz="8" w:space="0"/>
            </w:tcBorders>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cs="Times New Roman"/>
                <w:color w:val="auto"/>
                <w:sz w:val="19"/>
                <w:szCs w:val="19"/>
              </w:rPr>
              <w:t>0</w:t>
            </w:r>
          </w:p>
        </w:tc>
        <w:tc>
          <w:tcPr>
            <w:tcW w:w="574" w:type="dxa"/>
            <w:tcBorders>
              <w:top w:val="nil"/>
              <w:left w:val="nil"/>
              <w:bottom w:val="single" w:color="00000A" w:sz="8" w:space="0"/>
              <w:right w:val="single" w:color="00000A" w:sz="8" w:space="0"/>
            </w:tcBorders>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cs="Times New Roman"/>
                <w:color w:val="auto"/>
                <w:sz w:val="19"/>
                <w:szCs w:val="19"/>
              </w:rPr>
              <w:t>0</w:t>
            </w:r>
          </w:p>
        </w:tc>
        <w:tc>
          <w:tcPr>
            <w:tcW w:w="606" w:type="dxa"/>
            <w:tcBorders>
              <w:top w:val="nil"/>
              <w:left w:val="nil"/>
              <w:bottom w:val="single" w:color="00000A" w:sz="8" w:space="0"/>
              <w:right w:val="single" w:color="00000A" w:sz="8" w:space="0"/>
            </w:tcBorders>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cs="Times New Roman"/>
                <w:color w:val="auto"/>
                <w:sz w:val="19"/>
                <w:szCs w:val="19"/>
              </w:rPr>
              <w:t>0</w:t>
            </w:r>
          </w:p>
        </w:tc>
        <w:tc>
          <w:tcPr>
            <w:tcW w:w="585" w:type="dxa"/>
            <w:tcBorders>
              <w:top w:val="nil"/>
              <w:left w:val="nil"/>
              <w:bottom w:val="single" w:color="00000A" w:sz="8" w:space="0"/>
              <w:right w:val="single" w:color="00000A" w:sz="8" w:space="0"/>
            </w:tcBorders>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cs="Times New Roman"/>
                <w:color w:val="auto"/>
                <w:sz w:val="19"/>
                <w:szCs w:val="19"/>
              </w:rPr>
              <w:t>0</w:t>
            </w:r>
          </w:p>
        </w:tc>
        <w:tc>
          <w:tcPr>
            <w:tcW w:w="301" w:type="dxa"/>
            <w:tcBorders>
              <w:top w:val="nil"/>
              <w:left w:val="nil"/>
              <w:bottom w:val="single" w:color="00000A" w:sz="8" w:space="0"/>
              <w:right w:val="single" w:color="00000A" w:sz="8" w:space="0"/>
            </w:tcBorders>
            <w:noWrap w:val="0"/>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firstLine="0"/>
              <w:jc w:val="center"/>
              <w:textAlignment w:val="auto"/>
              <w:rPr>
                <w:rFonts w:hint="default" w:ascii="Times New Roman" w:hAnsi="Times New Roman" w:cs="Times New Roman"/>
                <w:color w:val="auto"/>
                <w:sz w:val="19"/>
                <w:szCs w:val="19"/>
              </w:rPr>
            </w:pPr>
            <w:r>
              <w:rPr>
                <w:rFonts w:hint="default" w:ascii="Times New Roman" w:hAnsi="Times New Roman" w:cs="Times New Roman"/>
                <w:color w:val="auto"/>
                <w:sz w:val="19"/>
                <w:szCs w:val="19"/>
              </w:rPr>
              <w:t>0</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default" w:ascii="Times New Roman" w:hAnsi="Times New Roman" w:eastAsia="黑体" w:cs="Times New Roman"/>
          <w:i w:val="0"/>
          <w:caps w:val="0"/>
          <w:color w:val="auto"/>
          <w:spacing w:val="0"/>
          <w:sz w:val="32"/>
          <w:szCs w:val="32"/>
          <w:shd w:val="clear" w:color="auto" w:fill="FFFFFF"/>
        </w:rPr>
      </w:pP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34"/>
        <w:jc w:val="both"/>
        <w:textAlignment w:val="auto"/>
        <w:rPr>
          <w:rFonts w:hint="default" w:ascii="Times New Roman" w:hAnsi="Times New Roman" w:eastAsia="黑体"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34"/>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2024年，我</w:t>
      </w:r>
      <w:r>
        <w:rPr>
          <w:rFonts w:hint="default" w:ascii="Times New Roman" w:hAnsi="Times New Roman" w:eastAsia="仿宋_GB2312" w:cs="Times New Roman"/>
          <w:i w:val="0"/>
          <w:caps w:val="0"/>
          <w:color w:val="auto"/>
          <w:spacing w:val="0"/>
          <w:sz w:val="32"/>
          <w:szCs w:val="32"/>
          <w:shd w:val="clear" w:color="auto" w:fill="FFFFFF"/>
          <w:lang w:val="en-US" w:eastAsia="zh-CN"/>
        </w:rPr>
        <w:t>镇</w:t>
      </w:r>
      <w:r>
        <w:rPr>
          <w:rFonts w:hint="default" w:ascii="Times New Roman" w:hAnsi="Times New Roman" w:eastAsia="仿宋_GB2312" w:cs="Times New Roman"/>
          <w:i w:val="0"/>
          <w:caps w:val="0"/>
          <w:color w:val="auto"/>
          <w:spacing w:val="0"/>
          <w:sz w:val="32"/>
          <w:szCs w:val="32"/>
          <w:shd w:val="clear" w:color="auto" w:fill="FFFFFF"/>
          <w:lang w:eastAsia="zh-CN"/>
        </w:rPr>
        <w:t>政府信息公开工作取得了一定进展，但也存在一些问题和不足，</w:t>
      </w:r>
      <w:r>
        <w:rPr>
          <w:rFonts w:hint="default" w:ascii="Times New Roman" w:hAnsi="Times New Roman" w:eastAsia="楷体_GB2312" w:cs="Times New Roman"/>
          <w:i w:val="0"/>
          <w:caps w:val="0"/>
          <w:color w:val="auto"/>
          <w:spacing w:val="0"/>
          <w:sz w:val="32"/>
          <w:szCs w:val="32"/>
          <w:shd w:val="clear" w:color="auto" w:fill="FFFFFF"/>
          <w:lang w:val="en-US" w:eastAsia="zh-CN"/>
        </w:rPr>
        <w:t>一是信息公开缺乏及时性，</w:t>
      </w:r>
      <w:r>
        <w:rPr>
          <w:rFonts w:hint="default" w:ascii="Times New Roman" w:hAnsi="Times New Roman" w:eastAsia="仿宋_GB2312" w:cs="Times New Roman"/>
          <w:i w:val="0"/>
          <w:caps w:val="0"/>
          <w:color w:val="auto"/>
          <w:spacing w:val="0"/>
          <w:sz w:val="32"/>
          <w:szCs w:val="32"/>
          <w:shd w:val="clear" w:color="auto" w:fill="FFFFFF"/>
          <w:lang w:eastAsia="zh-CN"/>
        </w:rPr>
        <w:t>存在信息滞后现象，一些政策文件发布后，相关解读未能同步跟进；动态类信息如工作进展、统计数据等更新缓慢，导致信息时效性大打折扣，无法为公众提供最新的政务动态。</w:t>
      </w:r>
      <w:r>
        <w:rPr>
          <w:rFonts w:hint="default" w:ascii="Times New Roman" w:hAnsi="Times New Roman" w:eastAsia="楷体_GB2312" w:cs="Times New Roman"/>
          <w:i w:val="0"/>
          <w:caps w:val="0"/>
          <w:color w:val="auto"/>
          <w:spacing w:val="0"/>
          <w:sz w:val="32"/>
          <w:szCs w:val="32"/>
          <w:shd w:val="clear" w:color="auto" w:fill="FFFFFF"/>
          <w:lang w:val="en-US" w:eastAsia="zh-CN"/>
        </w:rPr>
        <w:t>二是公开内容不全面，</w:t>
      </w:r>
      <w:r>
        <w:rPr>
          <w:rFonts w:hint="default" w:ascii="Times New Roman" w:hAnsi="Times New Roman" w:eastAsia="仿宋_GB2312" w:cs="Times New Roman"/>
          <w:i w:val="0"/>
          <w:caps w:val="0"/>
          <w:color w:val="auto"/>
          <w:spacing w:val="0"/>
          <w:sz w:val="32"/>
          <w:szCs w:val="32"/>
          <w:shd w:val="clear" w:color="auto" w:fill="FFFFFF"/>
          <w:lang w:eastAsia="zh-CN"/>
        </w:rPr>
        <w:t>对政务信息公开的范围把握不准确，一些群众关心的重点领域信息，如财政资金使用、重大项目建设、民生保障等公开不够详细或存在缺失，未能充分满足公众知情权。</w:t>
      </w:r>
      <w:r>
        <w:rPr>
          <w:rFonts w:hint="default" w:ascii="Times New Roman" w:hAnsi="Times New Roman" w:eastAsia="楷体_GB2312" w:cs="Times New Roman"/>
          <w:i w:val="0"/>
          <w:caps w:val="0"/>
          <w:color w:val="auto"/>
          <w:spacing w:val="0"/>
          <w:sz w:val="32"/>
          <w:szCs w:val="32"/>
          <w:shd w:val="clear" w:color="auto" w:fill="FFFFFF"/>
          <w:lang w:val="en-US" w:eastAsia="zh-CN"/>
        </w:rPr>
        <w:t>三是</w:t>
      </w:r>
      <w:r>
        <w:rPr>
          <w:rFonts w:hint="default" w:ascii="Times New Roman" w:hAnsi="Times New Roman" w:eastAsia="楷体_GB2312" w:cs="Times New Roman"/>
          <w:i w:val="0"/>
          <w:caps w:val="0"/>
          <w:color w:val="auto"/>
          <w:spacing w:val="0"/>
          <w:sz w:val="32"/>
          <w:szCs w:val="32"/>
          <w:shd w:val="clear" w:color="auto" w:fill="FFFFFF"/>
          <w:lang w:val="en-US" w:eastAsia="zh-CN"/>
        </w:rPr>
        <w:t>信息公开途径有限</w:t>
      </w:r>
      <w:r>
        <w:rPr>
          <w:rFonts w:hint="default" w:ascii="Times New Roman" w:hAnsi="Times New Roman" w:eastAsia="楷体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lang w:eastAsia="zh-CN"/>
        </w:rPr>
        <w:t>过度依赖政府官网，对政务新媒体等新兴平台利用不足，且各渠道之间信息整合不够，存在信息孤岛现象，公众获取信息不够便捷，影响了信息的传播和共享效率。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下一步，我</w:t>
      </w:r>
      <w:r>
        <w:rPr>
          <w:rFonts w:hint="default" w:ascii="Times New Roman" w:hAnsi="Times New Roman" w:eastAsia="仿宋_GB2312" w:cs="Times New Roman"/>
          <w:i w:val="0"/>
          <w:caps w:val="0"/>
          <w:color w:val="auto"/>
          <w:spacing w:val="0"/>
          <w:sz w:val="32"/>
          <w:szCs w:val="32"/>
          <w:shd w:val="clear" w:color="auto" w:fill="FFFFFF"/>
          <w:lang w:val="en-US" w:eastAsia="zh-CN"/>
        </w:rPr>
        <w:t>镇</w:t>
      </w:r>
      <w:r>
        <w:rPr>
          <w:rFonts w:hint="default" w:ascii="Times New Roman" w:hAnsi="Times New Roman" w:eastAsia="仿宋_GB2312" w:cs="Times New Roman"/>
          <w:i w:val="0"/>
          <w:caps w:val="0"/>
          <w:color w:val="auto"/>
          <w:spacing w:val="0"/>
          <w:sz w:val="32"/>
          <w:szCs w:val="32"/>
          <w:shd w:val="clear" w:color="auto" w:fill="FFFFFF"/>
          <w:lang w:eastAsia="zh-CN"/>
        </w:rPr>
        <w:t>将进一步深化政府信息公开工作，</w:t>
      </w:r>
      <w:r>
        <w:rPr>
          <w:rFonts w:hint="default" w:ascii="Times New Roman" w:hAnsi="Times New Roman" w:eastAsia="楷体_GB2312" w:cs="Times New Roman"/>
          <w:i w:val="0"/>
          <w:caps w:val="0"/>
          <w:color w:val="auto"/>
          <w:spacing w:val="0"/>
          <w:sz w:val="32"/>
          <w:szCs w:val="32"/>
          <w:shd w:val="clear" w:color="auto" w:fill="FFFFFF"/>
          <w:lang w:val="en-US" w:eastAsia="zh-CN"/>
        </w:rPr>
        <w:t>一是</w:t>
      </w:r>
      <w:r>
        <w:rPr>
          <w:rFonts w:hint="default" w:ascii="Times New Roman" w:hAnsi="Times New Roman" w:eastAsia="仿宋_GB2312" w:cs="Times New Roman"/>
          <w:i w:val="0"/>
          <w:caps w:val="0"/>
          <w:color w:val="auto"/>
          <w:spacing w:val="0"/>
          <w:sz w:val="32"/>
          <w:szCs w:val="32"/>
          <w:shd w:val="clear" w:color="auto" w:fill="FFFFFF"/>
          <w:lang w:eastAsia="zh-CN"/>
        </w:rPr>
        <w:t>建立信息发布机制，在政策文件发</w:t>
      </w:r>
      <w:r>
        <w:rPr>
          <w:rFonts w:hint="default" w:ascii="Times New Roman" w:hAnsi="Times New Roman" w:eastAsia="仿宋_GB2312" w:cs="Times New Roman"/>
          <w:i w:val="0"/>
          <w:caps w:val="0"/>
          <w:color w:val="auto"/>
          <w:spacing w:val="0"/>
          <w:sz w:val="32"/>
          <w:szCs w:val="32"/>
          <w:shd w:val="clear" w:color="auto" w:fill="FFFFFF"/>
          <w:lang w:eastAsia="zh-CN"/>
        </w:rPr>
        <w:t>布的同时，确保解读材料准备就绪，并通过多种渠道同步推送。明确动态信息的更新周期，并安排专人负责信息收集与整理工作，以制度保障信息更新的及时性。</w:t>
      </w:r>
      <w:r>
        <w:rPr>
          <w:rFonts w:hint="default" w:ascii="Times New Roman" w:hAnsi="Times New Roman" w:eastAsia="楷体_GB2312" w:cs="Times New Roman"/>
          <w:i w:val="0"/>
          <w:caps w:val="0"/>
          <w:color w:val="auto"/>
          <w:spacing w:val="0"/>
          <w:sz w:val="32"/>
          <w:szCs w:val="32"/>
          <w:shd w:val="clear" w:color="auto" w:fill="FFFFFF"/>
          <w:lang w:val="en-US" w:eastAsia="zh-CN"/>
        </w:rPr>
        <w:t>二是</w:t>
      </w:r>
      <w:r>
        <w:rPr>
          <w:rFonts w:hint="default" w:ascii="Times New Roman" w:hAnsi="Times New Roman" w:eastAsia="仿宋_GB2312" w:cs="Times New Roman"/>
          <w:i w:val="0"/>
          <w:caps w:val="0"/>
          <w:color w:val="auto"/>
          <w:spacing w:val="0"/>
          <w:sz w:val="32"/>
          <w:szCs w:val="32"/>
          <w:shd w:val="clear" w:color="auto" w:fill="FFFFFF"/>
          <w:lang w:val="en-US" w:eastAsia="zh-CN"/>
        </w:rPr>
        <w:t>将及时调整更新政务公开培训计划，及时与上级部门沟通交流，进一步提升政府信息公开工作能力。</w:t>
      </w:r>
      <w:r>
        <w:rPr>
          <w:rFonts w:hint="default" w:ascii="Times New Roman" w:hAnsi="Times New Roman" w:eastAsia="仿宋_GB2312" w:cs="Times New Roman"/>
          <w:i w:val="0"/>
          <w:caps w:val="0"/>
          <w:color w:val="auto"/>
          <w:spacing w:val="0"/>
          <w:sz w:val="32"/>
          <w:szCs w:val="32"/>
          <w:shd w:val="clear" w:color="auto" w:fill="FFFFFF"/>
          <w:lang w:eastAsia="zh-CN"/>
        </w:rPr>
        <w:t>广泛听取、收集人民群众的意见建议,了解群众需求,通过人民群众喜闻乐见的方式让信息公开接“地气”，顺“民心”。</w:t>
      </w:r>
      <w:r>
        <w:rPr>
          <w:rFonts w:hint="default" w:ascii="Times New Roman" w:hAnsi="Times New Roman" w:eastAsia="楷体_GB2312" w:cs="Times New Roman"/>
          <w:i w:val="0"/>
          <w:caps w:val="0"/>
          <w:color w:val="auto"/>
          <w:spacing w:val="0"/>
          <w:sz w:val="32"/>
          <w:szCs w:val="32"/>
          <w:shd w:val="clear" w:color="auto" w:fill="FFFFFF"/>
          <w:lang w:val="en-US" w:eastAsia="zh-CN"/>
        </w:rPr>
        <w:t>三是</w:t>
      </w:r>
      <w:r>
        <w:rPr>
          <w:rFonts w:hint="default" w:ascii="Times New Roman" w:hAnsi="Times New Roman" w:eastAsia="仿宋_GB2312" w:cs="Times New Roman"/>
          <w:i w:val="0"/>
          <w:caps w:val="0"/>
          <w:color w:val="auto"/>
          <w:spacing w:val="0"/>
          <w:sz w:val="32"/>
          <w:szCs w:val="32"/>
          <w:shd w:val="clear" w:color="auto" w:fill="FFFFFF"/>
          <w:lang w:val="en-US" w:eastAsia="zh-CN"/>
        </w:rPr>
        <w:t>强化信息整合</w:t>
      </w:r>
      <w:r>
        <w:rPr>
          <w:rFonts w:hint="default" w:ascii="Times New Roman" w:hAnsi="Times New Roman"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搭建一体化信息管理系统，将政府官网、政务新媒体、线下服务窗口等渠道的信息纳入统一管理，实现一处更新、多渠道同步发布。制定标准化信息发布流程，明确各渠道信息发布的格式、内容要求，消除信息的不一致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34"/>
        <w:jc w:val="both"/>
        <w:textAlignment w:val="auto"/>
        <w:rPr>
          <w:rFonts w:hint="default" w:ascii="Times New Roman" w:hAnsi="Times New Roman" w:eastAsia="微软雅黑" w:cs="Times New Roman"/>
          <w:i w:val="0"/>
          <w:caps w:val="0"/>
          <w:color w:val="auto"/>
          <w:spacing w:val="0"/>
          <w:sz w:val="19"/>
          <w:szCs w:val="19"/>
        </w:rPr>
      </w:pPr>
      <w:r>
        <w:rPr>
          <w:rFonts w:hint="default" w:ascii="Times New Roman" w:hAnsi="Times New Roman" w:eastAsia="黑体" w:cs="Times New Roman"/>
          <w:i w:val="0"/>
          <w:caps w:val="0"/>
          <w:color w:val="auto"/>
          <w:spacing w:val="0"/>
          <w:sz w:val="32"/>
          <w:szCs w:val="32"/>
          <w:shd w:val="clear" w:color="auto"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34"/>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楷体_GB2312" w:cs="Times New Roman"/>
          <w:i w:val="0"/>
          <w:caps w:val="0"/>
          <w:color w:val="auto"/>
          <w:spacing w:val="0"/>
          <w:sz w:val="32"/>
          <w:szCs w:val="32"/>
          <w:shd w:val="clear" w:color="auto" w:fill="FFFFFF"/>
          <w:lang w:val="en-US" w:eastAsia="zh-CN"/>
        </w:rPr>
        <w:t>1.收取信息处理费情况方面。</w:t>
      </w:r>
      <w:r>
        <w:rPr>
          <w:rFonts w:hint="default" w:ascii="Times New Roman" w:hAnsi="Times New Roman" w:eastAsia="仿宋_GB2312" w:cs="Times New Roman"/>
          <w:i w:val="0"/>
          <w:caps w:val="0"/>
          <w:color w:val="auto"/>
          <w:spacing w:val="0"/>
          <w:sz w:val="32"/>
          <w:szCs w:val="32"/>
          <w:shd w:val="clear" w:color="auto" w:fill="FFFFFF"/>
          <w:lang w:val="en-US" w:eastAsia="zh-CN"/>
        </w:rPr>
        <w:t>本年度政府信息公开申请未达到《政府信息公开信息处理费管理办法》（国办函〔2020〕109号）所规定的信息处理费收费标准，故未收取信息处理费。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楷体_GB2312" w:cs="Times New Roman"/>
          <w:i w:val="0"/>
          <w:caps w:val="0"/>
          <w:color w:val="auto"/>
          <w:spacing w:val="0"/>
          <w:sz w:val="32"/>
          <w:szCs w:val="32"/>
          <w:shd w:val="clear" w:color="auto" w:fill="FFFFFF"/>
          <w:lang w:val="en-US" w:eastAsia="zh-CN"/>
        </w:rPr>
        <w:t>2.落实上级年度政务公开工作要点情况。</w:t>
      </w:r>
      <w:r>
        <w:rPr>
          <w:rFonts w:hint="default" w:ascii="Times New Roman" w:hAnsi="Times New Roman" w:eastAsia="仿宋_GB2312" w:cs="Times New Roman"/>
          <w:i w:val="0"/>
          <w:caps w:val="0"/>
          <w:color w:val="auto"/>
          <w:spacing w:val="0"/>
          <w:sz w:val="32"/>
          <w:szCs w:val="32"/>
          <w:shd w:val="clear" w:color="auto" w:fill="FFFFFF"/>
          <w:lang w:val="en-US" w:eastAsia="zh-CN"/>
        </w:rPr>
        <w:t>对照《</w:t>
      </w:r>
      <w:r>
        <w:rPr>
          <w:rFonts w:hint="default" w:ascii="Times New Roman" w:hAnsi="Times New Roman" w:eastAsia="仿宋_GB2312" w:cs="Times New Roman"/>
          <w:i w:val="0"/>
          <w:caps w:val="0"/>
          <w:color w:val="auto"/>
          <w:spacing w:val="0"/>
          <w:sz w:val="32"/>
          <w:szCs w:val="32"/>
          <w:shd w:val="clear" w:color="auto" w:fill="FFFFFF"/>
          <w:lang w:val="en-US" w:eastAsia="zh-CN"/>
        </w:rPr>
        <w:t>薛城区</w:t>
      </w:r>
      <w:r>
        <w:rPr>
          <w:rFonts w:hint="default" w:ascii="Times New Roman" w:hAnsi="Times New Roman" w:eastAsia="仿宋_GB2312" w:cs="Times New Roman"/>
          <w:i w:val="0"/>
          <w:caps w:val="0"/>
          <w:color w:val="auto"/>
          <w:spacing w:val="0"/>
          <w:sz w:val="32"/>
          <w:szCs w:val="32"/>
          <w:shd w:val="clear" w:color="auto" w:fill="FFFFFF"/>
          <w:lang w:val="en-US" w:eastAsia="zh-CN"/>
        </w:rPr>
        <w:t>2024年政务公开工作要点》，认真落实政务公开新要求、新任务，围绕重点领域信息公开、政策发布解读与回应、基层政务公开标准化规范化建设和重要部署执行等方面，及时、集中、规范发布法定主动公开内容，扎实做好政务公开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shd w:val="clear" w:color="auto" w:fill="FFFFFF"/>
          <w:lang w:val="en-US" w:eastAsia="zh-CN"/>
        </w:rPr>
      </w:pPr>
      <w:r>
        <w:rPr>
          <w:rFonts w:hint="default" w:ascii="Times New Roman" w:hAnsi="Times New Roman" w:eastAsia="楷体_GB2312" w:cs="Times New Roman"/>
          <w:i w:val="0"/>
          <w:caps w:val="0"/>
          <w:color w:val="auto"/>
          <w:spacing w:val="0"/>
          <w:sz w:val="32"/>
          <w:szCs w:val="32"/>
          <w:u w:val="none"/>
          <w:shd w:val="clear" w:color="auto" w:fill="FFFFFF"/>
          <w:lang w:val="en-US" w:eastAsia="zh-CN"/>
        </w:rPr>
        <w:t>3.人大代表建议和政协提案办理情况方面。</w:t>
      </w:r>
      <w:r>
        <w:rPr>
          <w:rFonts w:hint="default" w:ascii="Times New Roman" w:hAnsi="Times New Roman" w:eastAsia="仿宋_GB2312" w:cs="Times New Roman"/>
          <w:i w:val="0"/>
          <w:caps w:val="0"/>
          <w:color w:val="auto"/>
          <w:spacing w:val="0"/>
          <w:sz w:val="32"/>
          <w:szCs w:val="32"/>
          <w:u w:val="none"/>
          <w:shd w:val="clear" w:color="auto" w:fill="FFFFFF"/>
          <w:lang w:val="en-US" w:eastAsia="zh-CN"/>
        </w:rPr>
        <w:t>2024年，薛城区陶庄镇共承办区人大建议3件，区政协提案3件，内容涉及道路交通、社区管理等方面。截至目前，所有建议均已采纳解决，办结率100%。</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auto"/>
          <w:spacing w:val="0"/>
          <w:sz w:val="32"/>
          <w:szCs w:val="32"/>
          <w:shd w:val="clear" w:color="auto" w:fill="FFFFFF"/>
          <w:lang w:val="en-US" w:eastAsia="zh-CN"/>
        </w:rPr>
        <w:t>4.开展政务公开创新方面。</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不断加大政府信息主动公开力度，创新公开形式，深化公开内容，拓宽公开渠道，依托便民服务中心建设政务公开专区，配套安装软硬件设施，为企业和群众提供政府信息查询、信息公开申请、办事咨询答复等服务，让群众办事更明白、更便捷，方便群众查询获取政府信息。</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auto"/>
          <w:spacing w:val="0"/>
          <w:kern w:val="0"/>
          <w:sz w:val="32"/>
          <w:szCs w:val="32"/>
          <w:shd w:val="clear" w:color="auto" w:fill="FFFFFF"/>
          <w:lang w:val="en-US" w:eastAsia="zh-CN" w:bidi="ar"/>
        </w:rPr>
        <w:t>5.本单位政府信息公开工作年度报告数据统计需要说明的事项：</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本年度报告中所列数据的统计期限自202</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4</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年1月1日起至202</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4</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年12月31日止。</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auto"/>
          <w:spacing w:val="0"/>
          <w:kern w:val="0"/>
          <w:sz w:val="32"/>
          <w:szCs w:val="32"/>
          <w:shd w:val="clear" w:color="auto" w:fill="FFFFFF"/>
          <w:lang w:val="en-US" w:eastAsia="zh-CN" w:bidi="ar"/>
        </w:rPr>
        <w:t>6.其他有关文件专门要求通过政府信息公开工作年度报告予以报告的事项：</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无</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auto"/>
          <w:spacing w:val="0"/>
          <w:kern w:val="0"/>
          <w:sz w:val="32"/>
          <w:szCs w:val="32"/>
          <w:shd w:val="clear" w:color="auto" w:fill="FFFFFF"/>
          <w:lang w:val="en-US" w:eastAsia="zh-CN" w:bidi="ar"/>
        </w:rPr>
        <w:t>7.本年度报告的电子版</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可以在“薛城区政府门户网站”（http://xxgk.xuecheng.gov.cn/xxgknb/202</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4</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xxgknb/)下载。如对本报告有疑问，可与薛城区陶庄镇政府办公室联系（地址：薛城区陶庄镇陶山路110号，邮政编码：277011；电话：0632—4811012，邮箱tzzdzb@zz.shandong.cn）。</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0"/>
        <w:jc w:val="both"/>
        <w:textAlignment w:val="auto"/>
        <w:rPr>
          <w:rFonts w:hint="default" w:ascii="Times New Roman" w:hAnsi="Times New Roman" w:eastAsia="微软雅黑" w:cs="Times New Roman"/>
          <w:i w:val="0"/>
          <w:caps w:val="0"/>
          <w:color w:val="auto"/>
          <w:spacing w:val="0"/>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720"/>
        <w:jc w:val="right"/>
        <w:textAlignment w:val="auto"/>
        <w:rPr>
          <w:rFonts w:hint="default" w:ascii="Times New Roman" w:hAnsi="Times New Roman" w:eastAsia="微软雅黑" w:cs="Times New Roman"/>
          <w:i w:val="0"/>
          <w:caps w:val="0"/>
          <w:color w:val="auto"/>
          <w:spacing w:val="0"/>
          <w:sz w:val="19"/>
          <w:szCs w:val="19"/>
        </w:rPr>
      </w:pPr>
      <w:r>
        <w:rPr>
          <w:rFonts w:hint="default" w:ascii="Times New Roman" w:hAnsi="Times New Roman" w:eastAsia="仿宋_GB2312" w:cs="Times New Roman"/>
          <w:i w:val="0"/>
          <w:caps w:val="0"/>
          <w:color w:val="auto"/>
          <w:spacing w:val="20"/>
          <w:sz w:val="32"/>
          <w:szCs w:val="32"/>
          <w:shd w:val="clear" w:color="auto" w:fill="FFFFFF"/>
        </w:rPr>
        <w:t>陶庄镇人民政府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firstLine="634"/>
        <w:jc w:val="right"/>
        <w:textAlignment w:val="auto"/>
        <w:rPr>
          <w:rFonts w:hint="default" w:ascii="Times New Roman" w:hAnsi="Times New Roman" w:cs="Times New Roman"/>
          <w:color w:val="auto"/>
        </w:rPr>
      </w:pPr>
      <w:r>
        <w:rPr>
          <w:rFonts w:hint="default" w:ascii="Times New Roman" w:hAnsi="Times New Roman" w:eastAsia="微软雅黑" w:cs="Times New Roman"/>
          <w:i w:val="0"/>
          <w:caps w:val="0"/>
          <w:color w:val="auto"/>
          <w:spacing w:val="0"/>
          <w:sz w:val="32"/>
          <w:szCs w:val="32"/>
          <w:shd w:val="clear" w:color="auto" w:fill="FFFFFF"/>
        </w:rPr>
        <w:t>202</w:t>
      </w:r>
      <w:r>
        <w:rPr>
          <w:rFonts w:hint="default" w:ascii="Times New Roman" w:hAnsi="Times New Roman" w:eastAsia="微软雅黑" w:cs="Times New Roman"/>
          <w:i w:val="0"/>
          <w:caps w:val="0"/>
          <w:color w:val="auto"/>
          <w:spacing w:val="0"/>
          <w:sz w:val="32"/>
          <w:szCs w:val="32"/>
          <w:shd w:val="clear" w:color="auto" w:fill="FFFFFF"/>
          <w:lang w:val="en-US" w:eastAsia="zh-CN"/>
        </w:rPr>
        <w:t>5</w:t>
      </w:r>
      <w:r>
        <w:rPr>
          <w:rFonts w:hint="default" w:ascii="Times New Roman" w:hAnsi="Times New Roman" w:eastAsia="仿宋_GB2312" w:cs="Times New Roman"/>
          <w:i w:val="0"/>
          <w:caps w:val="0"/>
          <w:color w:val="auto"/>
          <w:spacing w:val="0"/>
          <w:sz w:val="32"/>
          <w:szCs w:val="32"/>
          <w:shd w:val="clear" w:color="auto" w:fill="FFFFFF"/>
        </w:rPr>
        <w:t>年</w:t>
      </w:r>
      <w:r>
        <w:rPr>
          <w:rFonts w:hint="default" w:ascii="Times New Roman" w:hAnsi="Times New Roman" w:eastAsia="微软雅黑" w:cs="Times New Roman"/>
          <w:i w:val="0"/>
          <w:caps w:val="0"/>
          <w:color w:val="auto"/>
          <w:spacing w:val="0"/>
          <w:sz w:val="32"/>
          <w:szCs w:val="32"/>
          <w:shd w:val="clear" w:color="auto" w:fill="auto"/>
        </w:rPr>
        <w:t>1</w:t>
      </w:r>
      <w:r>
        <w:rPr>
          <w:rFonts w:hint="default" w:ascii="Times New Roman" w:hAnsi="Times New Roman" w:eastAsia="仿宋_GB2312" w:cs="Times New Roman"/>
          <w:i w:val="0"/>
          <w:caps w:val="0"/>
          <w:color w:val="auto"/>
          <w:spacing w:val="0"/>
          <w:sz w:val="32"/>
          <w:szCs w:val="32"/>
          <w:shd w:val="clear" w:color="auto" w:fill="FFFFFF"/>
        </w:rPr>
        <w:t>月</w:t>
      </w:r>
      <w:r>
        <w:rPr>
          <w:rFonts w:hint="default" w:ascii="Times New Roman" w:hAnsi="Times New Roman" w:eastAsia="仿宋_GB2312" w:cs="Times New Roman"/>
          <w:i w:val="0"/>
          <w:caps w:val="0"/>
          <w:color w:val="auto"/>
          <w:spacing w:val="0"/>
          <w:sz w:val="32"/>
          <w:szCs w:val="32"/>
          <w:shd w:val="clear" w:color="auto" w:fill="FFFFFF"/>
          <w:lang w:val="en-US" w:eastAsia="zh-CN"/>
        </w:rPr>
        <w:t>16</w:t>
      </w:r>
      <w:r>
        <w:rPr>
          <w:rFonts w:hint="default" w:ascii="Times New Roman" w:hAnsi="Times New Roman" w:eastAsia="仿宋_GB2312" w:cs="Times New Roman"/>
          <w:i w:val="0"/>
          <w:caps w:val="0"/>
          <w:color w:val="auto"/>
          <w:spacing w:val="0"/>
          <w:sz w:val="32"/>
          <w:szCs w:val="32"/>
          <w:shd w:val="clear" w:color="auto" w:fill="FFFFFF"/>
        </w:rPr>
        <w:t>日</w:t>
      </w:r>
    </w:p>
    <w:p>
      <w:pPr>
        <w:rPr>
          <w:rFonts w:hint="default" w:ascii="Times New Roman" w:hAnsi="Times New Roman" w:cs="Times New Roman"/>
        </w:rPr>
      </w:pPr>
    </w:p>
    <w:sectPr>
      <w:footerReference r:id="rId3" w:type="default"/>
      <w:pgSz w:w="11906" w:h="16838"/>
      <w:pgMar w:top="1701" w:right="1587" w:bottom="1701" w:left="1587" w:header="1134"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BE559"/>
    <w:multiLevelType w:val="singleLevel"/>
    <w:tmpl w:val="E7EBE559"/>
    <w:lvl w:ilvl="0" w:tentative="0">
      <w:start w:val="4"/>
      <w:numFmt w:val="chineseCounting"/>
      <w:suff w:val="nothing"/>
      <w:lvlText w:val="%1、"/>
      <w:lvlJc w:val="left"/>
      <w:rPr>
        <w:rFonts w:hint="eastAsia"/>
      </w:rPr>
    </w:lvl>
  </w:abstractNum>
  <w:abstractNum w:abstractNumId="1">
    <w:nsid w:val="FC9E3CFD"/>
    <w:multiLevelType w:val="singleLevel"/>
    <w:tmpl w:val="FC9E3CF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zFkNmMzMzQxNmNlMGI5NDQ0NjZjY2QzNTM3NWMifQ=="/>
  </w:docVars>
  <w:rsids>
    <w:rsidRoot w:val="1BCD5CA4"/>
    <w:rsid w:val="0B5B2E0C"/>
    <w:rsid w:val="1B7F2695"/>
    <w:rsid w:val="1BCD5CA4"/>
    <w:rsid w:val="1BDF42D5"/>
    <w:rsid w:val="1FF7E6B1"/>
    <w:rsid w:val="27482C99"/>
    <w:rsid w:val="29AD7FA2"/>
    <w:rsid w:val="2B3D243F"/>
    <w:rsid w:val="2F7F3D07"/>
    <w:rsid w:val="31AA3691"/>
    <w:rsid w:val="36D7D7B0"/>
    <w:rsid w:val="3AFD039F"/>
    <w:rsid w:val="3BA721E3"/>
    <w:rsid w:val="3BAFD95B"/>
    <w:rsid w:val="3C9B232E"/>
    <w:rsid w:val="3CAE2EC5"/>
    <w:rsid w:val="3E397720"/>
    <w:rsid w:val="3EEF528D"/>
    <w:rsid w:val="45DF36EE"/>
    <w:rsid w:val="4EF0C9EC"/>
    <w:rsid w:val="4FFA7679"/>
    <w:rsid w:val="507AE7C0"/>
    <w:rsid w:val="52BA7977"/>
    <w:rsid w:val="577EF74E"/>
    <w:rsid w:val="59AC7EF5"/>
    <w:rsid w:val="5AEDF598"/>
    <w:rsid w:val="5BFE9C06"/>
    <w:rsid w:val="5C571D2D"/>
    <w:rsid w:val="5CFFE121"/>
    <w:rsid w:val="5DFFA6BF"/>
    <w:rsid w:val="5EFA0006"/>
    <w:rsid w:val="5FB7D163"/>
    <w:rsid w:val="5FCF64A7"/>
    <w:rsid w:val="5FDD84BB"/>
    <w:rsid w:val="64A33FE7"/>
    <w:rsid w:val="66530C6F"/>
    <w:rsid w:val="6D5FCA40"/>
    <w:rsid w:val="6D9DFE7F"/>
    <w:rsid w:val="6DBE6A77"/>
    <w:rsid w:val="6E3F8397"/>
    <w:rsid w:val="6FFD1557"/>
    <w:rsid w:val="6FFF645E"/>
    <w:rsid w:val="6FFF7ADD"/>
    <w:rsid w:val="767BC2CF"/>
    <w:rsid w:val="7778922F"/>
    <w:rsid w:val="777FD1DF"/>
    <w:rsid w:val="794FCFB0"/>
    <w:rsid w:val="79F5E82C"/>
    <w:rsid w:val="7BCC26FD"/>
    <w:rsid w:val="7BDF4953"/>
    <w:rsid w:val="7BF997CD"/>
    <w:rsid w:val="7BF9E700"/>
    <w:rsid w:val="7D5FA0C5"/>
    <w:rsid w:val="7D7E1F3C"/>
    <w:rsid w:val="7DA987AA"/>
    <w:rsid w:val="7DEE9970"/>
    <w:rsid w:val="7E57C81D"/>
    <w:rsid w:val="7EFA78EC"/>
    <w:rsid w:val="7EFEE42D"/>
    <w:rsid w:val="7FA33EA5"/>
    <w:rsid w:val="7FB426B1"/>
    <w:rsid w:val="7FED043F"/>
    <w:rsid w:val="7FF48C28"/>
    <w:rsid w:val="7FF6D35C"/>
    <w:rsid w:val="7FFAD4E3"/>
    <w:rsid w:val="9C753665"/>
    <w:rsid w:val="9FE6846B"/>
    <w:rsid w:val="ABF7049B"/>
    <w:rsid w:val="AD734EAF"/>
    <w:rsid w:val="B3F76763"/>
    <w:rsid w:val="BF70AABF"/>
    <w:rsid w:val="BFFD9635"/>
    <w:rsid w:val="C9D767C9"/>
    <w:rsid w:val="CBC98D07"/>
    <w:rsid w:val="CEC3CEB7"/>
    <w:rsid w:val="CEFFBAEC"/>
    <w:rsid w:val="D1D6F2F2"/>
    <w:rsid w:val="D5EF9746"/>
    <w:rsid w:val="D7624CF0"/>
    <w:rsid w:val="D7BDE27B"/>
    <w:rsid w:val="D9FFE0B1"/>
    <w:rsid w:val="DAF8719A"/>
    <w:rsid w:val="DBEFD00E"/>
    <w:rsid w:val="DD3692AD"/>
    <w:rsid w:val="DD37FB55"/>
    <w:rsid w:val="DEEF901E"/>
    <w:rsid w:val="DEFCA83E"/>
    <w:rsid w:val="DFBF7EA1"/>
    <w:rsid w:val="DFCFCD1E"/>
    <w:rsid w:val="DFDF951C"/>
    <w:rsid w:val="E7EF8B65"/>
    <w:rsid w:val="E96E16BF"/>
    <w:rsid w:val="EACF78AB"/>
    <w:rsid w:val="EAFB5A2E"/>
    <w:rsid w:val="ECFF103E"/>
    <w:rsid w:val="EDAD5163"/>
    <w:rsid w:val="EDF73004"/>
    <w:rsid w:val="EE7FB3A5"/>
    <w:rsid w:val="EFF7110B"/>
    <w:rsid w:val="F5FFA5FF"/>
    <w:rsid w:val="F65B10DE"/>
    <w:rsid w:val="F7B73DE9"/>
    <w:rsid w:val="F7FD32B3"/>
    <w:rsid w:val="F9FD0AD4"/>
    <w:rsid w:val="FAE34956"/>
    <w:rsid w:val="FAF7A61E"/>
    <w:rsid w:val="FB7DEE88"/>
    <w:rsid w:val="FBBE4529"/>
    <w:rsid w:val="FBE006E7"/>
    <w:rsid w:val="FBEF9445"/>
    <w:rsid w:val="FCF7B7E4"/>
    <w:rsid w:val="FD77A95F"/>
    <w:rsid w:val="FD9B414F"/>
    <w:rsid w:val="FE9E1720"/>
    <w:rsid w:val="FEBFA6AF"/>
    <w:rsid w:val="FEC68C5F"/>
    <w:rsid w:val="FEFF3713"/>
    <w:rsid w:val="FF6F33B1"/>
    <w:rsid w:val="FF77A7EF"/>
    <w:rsid w:val="FF975B70"/>
    <w:rsid w:val="FFAB6C87"/>
    <w:rsid w:val="FFFE94B3"/>
    <w:rsid w:val="FFFF1D90"/>
    <w:rsid w:val="FFFF580D"/>
    <w:rsid w:val="FFFFD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1361</Words>
  <Characters>1388</Characters>
  <Lines>0</Lines>
  <Paragraphs>0</Paragraphs>
  <TotalTime>3</TotalTime>
  <ScaleCrop>false</ScaleCrop>
  <LinksUpToDate>false</LinksUpToDate>
  <CharactersWithSpaces>1388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2025-01-08T14:11:00Z</dcterms:created>
  <dc:creator>Burt·Z</dc:creator>
  <cp:lastModifiedBy>user</cp:lastModifiedBy>
  <dcterms:modified xsi:type="dcterms:W3CDTF">2025-01-20T09:58:35Z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7B88F875EB33495EBD2647AFD5164149</vt:lpwstr>
  </property>
  <property fmtid="{D5CDD505-2E9C-101B-9397-08002B2CF9AE}" pid="4" name="KSOTemplateDocerSaveRecord">
    <vt:lpwstr>eyJoZGlkIjoiOTAxZGFiNzE0MDMzNWQ2NGZlNzEzYmNlYzhjMmU5NzEiLCJ1c2VySWQiOiIxNDAzNjg1Mzk4In0=</vt:lpwstr>
  </property>
</Properties>
</file>