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薛城区</w:t>
      </w:r>
      <w:r>
        <w:rPr>
          <w:rFonts w:hint="default" w:ascii="Times New Roman" w:hAnsi="Times New Roman" w:eastAsia="方正小标宋简体" w:cs="Times New Roman"/>
          <w:color w:val="auto"/>
          <w:sz w:val="44"/>
          <w:szCs w:val="44"/>
          <w:lang w:val="en-US" w:eastAsia="zh-CN"/>
        </w:rPr>
        <w:t>行政审批服务</w:t>
      </w:r>
      <w:r>
        <w:rPr>
          <w:rFonts w:hint="default" w:ascii="Times New Roman" w:hAnsi="Times New Roman" w:eastAsia="方正小标宋简体" w:cs="Times New Roman"/>
          <w:color w:val="auto"/>
          <w:sz w:val="44"/>
          <w:szCs w:val="44"/>
          <w:lang w:eastAsia="zh-CN"/>
        </w:rPr>
        <w:t>局</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2025年</w:t>
      </w:r>
      <w:r>
        <w:rPr>
          <w:rFonts w:hint="default" w:ascii="Times New Roman" w:hAnsi="Times New Roman" w:eastAsia="方正小标宋简体" w:cs="Times New Roman"/>
          <w:color w:val="auto"/>
          <w:sz w:val="44"/>
          <w:szCs w:val="44"/>
        </w:rPr>
        <w:t>政府信息公开工作年度报告</w:t>
      </w:r>
    </w:p>
    <w:p>
      <w:pPr>
        <w:pStyle w:val="8"/>
        <w:keepNext w:val="0"/>
        <w:keepLines w:val="0"/>
        <w:pageBreakBefore w:val="0"/>
        <w:widowControl w:val="0"/>
        <w:kinsoku/>
        <w:wordWrap/>
        <w:overflowPunct/>
        <w:topLinePunct w:val="0"/>
        <w:bidi w:val="0"/>
        <w:adjustRightInd/>
        <w:snapToGrid/>
        <w:spacing w:line="600" w:lineRule="exact"/>
        <w:ind w:left="0" w:leftChars="0" w:right="0" w:rightChars="0" w:firstLine="420" w:firstLineChars="20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bidi w:val="0"/>
        <w:adjustRightInd/>
        <w:snapToGrid/>
        <w:spacing w:line="600" w:lineRule="exact"/>
        <w:ind w:left="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本年度报告根据《中华人民共和国政府信息公开条例》（以下简称《条例》）和《国务院办公厅政府信息与政务公开办公室关于印发&lt;中华人民共和国政府信息公开工作年度报告格式&gt;的通知》（国办公开办函〔2021〕30号）编制。本报告包括总体情况、行政机关主动公开政府信息情况、行政机关收到和处理政府信息公开申请情况、因政府信息公开工作被申请行政复议、提起行政诉讼情况、政府信息公开工作存在的主要问题及改进情况、其他需要报告的事项等六个部分。数据统计期限为202</w:t>
      </w: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val="en-US" w:eastAsia="zh-CN"/>
        </w:rPr>
        <w:t>年1月1日起至202</w:t>
      </w: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val="en-US" w:eastAsia="zh-CN"/>
        </w:rPr>
        <w:t>年12月31日止。</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总体情况</w:t>
      </w:r>
    </w:p>
    <w:p>
      <w:pPr>
        <w:keepNext w:val="0"/>
        <w:keepLines w:val="0"/>
        <w:pageBreakBefore w:val="0"/>
        <w:widowControl w:val="0"/>
        <w:kinsoku/>
        <w:wordWrap/>
        <w:overflowPunct/>
        <w:topLinePunct w:val="0"/>
        <w:bidi w:val="0"/>
        <w:adjustRightInd/>
        <w:snapToGrid/>
        <w:spacing w:line="600" w:lineRule="exact"/>
        <w:ind w:left="0" w:firstLine="640" w:firstLineChars="20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仿宋_GB2312" w:cs="Times New Roman"/>
          <w:color w:val="auto"/>
          <w:kern w:val="0"/>
          <w:sz w:val="32"/>
          <w:szCs w:val="32"/>
        </w:rPr>
        <w:t>2025年</w:t>
      </w:r>
      <w:r>
        <w:rPr>
          <w:rFonts w:hint="default" w:ascii="Times New Roman" w:hAnsi="Times New Roman" w:eastAsia="仿宋_GB2312" w:cs="Times New Roman"/>
          <w:color w:val="auto"/>
          <w:kern w:val="0"/>
          <w:sz w:val="32"/>
          <w:szCs w:val="32"/>
          <w:lang w:eastAsia="zh-CN"/>
        </w:rPr>
        <w:t>以来</w:t>
      </w:r>
      <w:r>
        <w:rPr>
          <w:rFonts w:hint="default" w:ascii="Times New Roman" w:hAnsi="Times New Roman" w:eastAsia="仿宋_GB2312" w:cs="Times New Roman"/>
          <w:color w:val="auto"/>
          <w:kern w:val="0"/>
          <w:sz w:val="32"/>
          <w:szCs w:val="32"/>
        </w:rPr>
        <w:t>，薛城区行政审批</w:t>
      </w:r>
      <w:r>
        <w:rPr>
          <w:rFonts w:hint="default" w:ascii="Times New Roman" w:hAnsi="Times New Roman" w:eastAsia="仿宋_GB2312" w:cs="Times New Roman"/>
          <w:color w:val="auto"/>
          <w:kern w:val="0"/>
          <w:sz w:val="32"/>
          <w:szCs w:val="32"/>
          <w:lang w:eastAsia="zh-CN"/>
        </w:rPr>
        <w:t>服务</w:t>
      </w:r>
      <w:r>
        <w:rPr>
          <w:rFonts w:hint="default" w:ascii="Times New Roman" w:hAnsi="Times New Roman" w:eastAsia="仿宋_GB2312" w:cs="Times New Roman"/>
          <w:color w:val="auto"/>
          <w:kern w:val="0"/>
          <w:sz w:val="32"/>
          <w:szCs w:val="32"/>
        </w:rPr>
        <w:t>局深入贯彻落实《中华人民共和国政府信息公开条例》，坚持“以公开为常态、不公开为例外”原则，紧扣行政审批核心职能，统筹推进主动公开、依申请公开等各项工作，不断完善公开制度、优化公开平台、强化监督保障，全面提升政府信息公开规范化、标准化水平，切实保障群众知情权、参与权和监督权，为优化营商环境、提升政务服务效能提供有力支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sz w:val="32"/>
          <w:szCs w:val="32"/>
          <w:lang w:val="en-US" w:eastAsia="zh-CN"/>
        </w:rPr>
        <w:t>（一）政府信息主动公开情况。</w:t>
      </w:r>
      <w:r>
        <w:rPr>
          <w:rFonts w:hint="default" w:ascii="Times New Roman" w:hAnsi="Times New Roman" w:eastAsia="仿宋_GB2312" w:cs="Times New Roman"/>
          <w:color w:val="auto"/>
          <w:kern w:val="0"/>
          <w:sz w:val="32"/>
          <w:szCs w:val="32"/>
        </w:rPr>
        <w:t>严格落实《条例》第二十条法定公开要求，</w:t>
      </w:r>
      <w:r>
        <w:rPr>
          <w:rFonts w:hint="default" w:ascii="Times New Roman" w:hAnsi="Times New Roman" w:eastAsia="仿宋_GB2312" w:cs="Times New Roman"/>
          <w:b w:val="0"/>
          <w:bCs w:val="0"/>
          <w:color w:val="auto"/>
          <w:kern w:val="2"/>
          <w:sz w:val="32"/>
          <w:szCs w:val="32"/>
          <w:lang w:val="en-US" w:eastAsia="zh-CN" w:bidi="ar-SA"/>
        </w:rPr>
        <w:t>积极做好本单位内的政策措施、工作动态、公开公示等信息发布工作。及时更新政府信息公开指南信息、公开工作年报、机构职能、人事信息、建议提案、规范性文件、情况报告、重大项目建设等政府信息。2025年度我局在政府门户网站主动公开信息56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楷体_GB2312" w:cs="Times New Roman"/>
          <w:b w:val="0"/>
          <w:bCs w:val="0"/>
          <w:color w:val="auto"/>
          <w:sz w:val="32"/>
          <w:szCs w:val="32"/>
          <w:lang w:val="en-US" w:eastAsia="zh-CN"/>
        </w:rPr>
        <w:t>（二）政府信息依申请公开情况。</w:t>
      </w:r>
      <w:r>
        <w:rPr>
          <w:rFonts w:hint="default" w:ascii="Times New Roman" w:hAnsi="Times New Roman" w:eastAsia="仿宋_GB2312" w:cs="Times New Roman"/>
          <w:b w:val="0"/>
          <w:bCs w:val="0"/>
          <w:color w:val="auto"/>
          <w:kern w:val="2"/>
          <w:sz w:val="32"/>
          <w:szCs w:val="32"/>
          <w:lang w:val="en-US" w:eastAsia="zh-CN" w:bidi="ar-SA"/>
        </w:rPr>
        <w:t>2025年，我局规范政府信息公开申请办理工作。准确适用依申请公开各项规定，对法定不予公开条款坚持最小化适用原则，切实做到以公开为常态、不公开为例外。全年</w:t>
      </w:r>
      <w:r>
        <w:rPr>
          <w:rFonts w:hint="default"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共收到依申请信息公开4件，其中线上申请2件，线下申请2件，并都按时答复办结。</w:t>
      </w:r>
      <w:r>
        <w:rPr>
          <w:rFonts w:hint="default" w:ascii="Times New Roman" w:hAnsi="Times New Roman" w:eastAsia="仿宋_GB2312" w:cs="Times New Roman"/>
          <w:b w:val="0"/>
          <w:bCs w:val="0"/>
          <w:color w:val="auto"/>
          <w:sz w:val="32"/>
          <w:szCs w:val="32"/>
          <w:lang w:val="en-US" w:eastAsia="zh-CN"/>
        </w:rPr>
        <w:t xml:space="preserve">无涉及政府信息公开的行政复议、行政诉讼案件。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lang w:val="en-US" w:eastAsia="zh-CN"/>
        </w:rPr>
        <w:t>（三）政府信息管理情况。</w:t>
      </w:r>
      <w:r>
        <w:rPr>
          <w:rFonts w:hint="default" w:ascii="Times New Roman" w:hAnsi="Times New Roman" w:eastAsia="仿宋_GB2312" w:cs="Times New Roman"/>
          <w:color w:val="000000" w:themeColor="text1"/>
          <w:spacing w:val="0"/>
          <w:kern w:val="0"/>
          <w:sz w:val="32"/>
          <w:szCs w:val="32"/>
          <w:lang w:val="en-US" w:eastAsia="zh-CN" w:bidi="ar"/>
          <w14:textFill>
            <w14:solidFill>
              <w14:schemeClr w14:val="tx1"/>
            </w14:solidFill>
          </w14:textFill>
        </w:rPr>
        <w:t>我局高度重视政府信息公开工作,积极</w:t>
      </w:r>
      <w:r>
        <w:rPr>
          <w:rFonts w:hint="default" w:ascii="Times New Roman" w:hAnsi="Times New Roman" w:eastAsia="仿宋_GB2312" w:cs="Times New Roman"/>
          <w:b w:val="0"/>
          <w:bCs w:val="0"/>
          <w:color w:val="auto"/>
          <w:sz w:val="32"/>
          <w:szCs w:val="32"/>
          <w:lang w:val="en-US" w:eastAsia="zh-CN"/>
        </w:rPr>
        <w:t>学习</w:t>
      </w:r>
      <w:r>
        <w:rPr>
          <w:rFonts w:hint="default" w:ascii="Times New Roman" w:hAnsi="Times New Roman" w:eastAsia="仿宋_GB2312" w:cs="Times New Roman"/>
          <w:b w:val="0"/>
          <w:bCs w:val="0"/>
          <w:color w:val="auto"/>
          <w:sz w:val="32"/>
          <w:szCs w:val="32"/>
          <w:lang w:val="en-US" w:eastAsia="zh-CN"/>
        </w:rPr>
        <w:t>各部门信息公开</w:t>
      </w:r>
      <w:r>
        <w:rPr>
          <w:rFonts w:hint="default" w:ascii="Times New Roman" w:hAnsi="Times New Roman" w:eastAsia="仿宋_GB2312" w:cs="Times New Roman"/>
          <w:b w:val="0"/>
          <w:bCs w:val="0"/>
          <w:color w:val="auto"/>
          <w:sz w:val="32"/>
          <w:szCs w:val="32"/>
          <w:lang w:val="en-US" w:eastAsia="zh-CN"/>
        </w:rPr>
        <w:t>相关文件，深化认识政务公开工作</w:t>
      </w:r>
      <w:r>
        <w:rPr>
          <w:rFonts w:hint="default"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lang w:val="en-US" w:eastAsia="zh-CN"/>
        </w:rPr>
        <w:t>重要意义</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rPr>
        <w:t>严格执行政府信息公开</w:t>
      </w:r>
      <w:r>
        <w:rPr>
          <w:rFonts w:hint="default" w:ascii="Times New Roman" w:hAnsi="Times New Roman" w:eastAsia="仿宋_GB2312" w:cs="Times New Roman"/>
          <w:color w:val="auto"/>
          <w:sz w:val="32"/>
          <w:szCs w:val="32"/>
          <w:lang w:eastAsia="zh-CN"/>
        </w:rPr>
        <w:t>审查</w:t>
      </w:r>
      <w:r>
        <w:rPr>
          <w:rFonts w:hint="default" w:ascii="Times New Roman" w:hAnsi="Times New Roman" w:eastAsia="仿宋_GB2312" w:cs="Times New Roman"/>
          <w:color w:val="auto"/>
          <w:sz w:val="32"/>
          <w:szCs w:val="32"/>
        </w:rPr>
        <w:t>制度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进一步完善政府信息公开流程，规范政府信息公开范围和方式，做到</w:t>
      </w:r>
      <w:r>
        <w:rPr>
          <w:rFonts w:hint="default" w:ascii="Times New Roman" w:hAnsi="Times New Roman" w:eastAsia="仿宋_GB2312" w:cs="Times New Roman"/>
          <w:b w:val="0"/>
          <w:bCs w:val="0"/>
          <w:color w:val="auto"/>
          <w:sz w:val="32"/>
          <w:szCs w:val="32"/>
          <w:lang w:val="en-US" w:eastAsia="zh-CN"/>
        </w:rPr>
        <w:t>“先审查、后公开”，坚持“一事一审原则”，进一步明确相关科室和岗位的职责，工作制度更加完善，工作流程更加清晰，</w:t>
      </w:r>
      <w:r>
        <w:rPr>
          <w:rFonts w:hint="default" w:ascii="Times New Roman" w:hAnsi="Times New Roman" w:eastAsia="仿宋_GB2312" w:cs="Times New Roman"/>
          <w:color w:val="auto"/>
          <w:sz w:val="32"/>
          <w:szCs w:val="32"/>
        </w:rPr>
        <w:t>切实做到人人有责、层层负责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规范有序、高效透明，确保信息内容准确合规。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四</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政府信息公开平台建设方面。</w:t>
      </w:r>
      <w:r>
        <w:rPr>
          <w:rFonts w:hint="default" w:ascii="Times New Roman" w:hAnsi="Times New Roman" w:eastAsia="仿宋_GB2312" w:cs="Times New Roman"/>
          <w:color w:val="auto"/>
          <w:sz w:val="32"/>
          <w:szCs w:val="32"/>
          <w:lang w:val="en-US" w:eastAsia="zh-CN"/>
        </w:rPr>
        <w:t>在政务大厅设置政务公开专区,主动向群众公开各窗口人员、工作职责和公开办事指南,近距离实现便民服务。</w:t>
      </w:r>
      <w:r>
        <w:rPr>
          <w:rFonts w:hint="default" w:ascii="Times New Roman" w:hAnsi="Times New Roman" w:eastAsia="仿宋_GB2312" w:cs="Times New Roman"/>
          <w:color w:val="auto"/>
          <w:sz w:val="32"/>
          <w:szCs w:val="32"/>
          <w:lang w:eastAsia="zh-CN"/>
        </w:rPr>
        <w:t>严格按照区政府集约化智能门户平台</w:t>
      </w:r>
      <w:r>
        <w:rPr>
          <w:rFonts w:hint="default" w:ascii="Times New Roman" w:hAnsi="Times New Roman" w:eastAsia="仿宋_GB2312" w:cs="Times New Roman"/>
          <w:color w:val="auto"/>
          <w:sz w:val="32"/>
          <w:szCs w:val="32"/>
        </w:rPr>
        <w:t>板块及栏目设置</w:t>
      </w:r>
      <w:r>
        <w:rPr>
          <w:rFonts w:hint="default" w:ascii="Times New Roman" w:hAnsi="Times New Roman" w:eastAsia="仿宋_GB2312" w:cs="Times New Roman"/>
          <w:color w:val="auto"/>
          <w:sz w:val="32"/>
          <w:szCs w:val="32"/>
          <w:lang w:eastAsia="zh-CN"/>
        </w:rPr>
        <w:t>公开各项政务信息</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不断完善网站平台功能，</w:t>
      </w:r>
      <w:r>
        <w:rPr>
          <w:rFonts w:hint="default" w:ascii="Times New Roman" w:hAnsi="Times New Roman" w:eastAsia="仿宋_GB2312" w:cs="Times New Roman"/>
          <w:color w:val="auto"/>
          <w:sz w:val="32"/>
          <w:szCs w:val="32"/>
          <w:lang w:val="en-US" w:eastAsia="zh-CN"/>
        </w:rPr>
        <w:t>及时更新政府信息公开指南，</w:t>
      </w:r>
      <w:r>
        <w:rPr>
          <w:rFonts w:hint="default" w:ascii="Times New Roman" w:hAnsi="Times New Roman" w:eastAsia="仿宋_GB2312" w:cs="Times New Roman"/>
          <w:color w:val="auto"/>
          <w:sz w:val="32"/>
          <w:szCs w:val="32"/>
        </w:rPr>
        <w:t>确保应有公开栏目不漏项，</w:t>
      </w:r>
      <w:r>
        <w:rPr>
          <w:rFonts w:hint="default" w:ascii="Times New Roman" w:hAnsi="Times New Roman" w:eastAsia="仿宋_GB2312" w:cs="Times New Roman"/>
          <w:color w:val="auto"/>
          <w:sz w:val="32"/>
          <w:szCs w:val="32"/>
          <w:lang w:eastAsia="zh-CN"/>
        </w:rPr>
        <w:t>信息报送保质保量</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adjustRightInd/>
        <w:snapToGrid/>
        <w:spacing w:line="600" w:lineRule="exact"/>
        <w:ind w:left="0" w:firstLine="640" w:firstLineChars="200"/>
        <w:jc w:val="both"/>
        <w:textAlignment w:val="auto"/>
        <w:rPr>
          <w:rFonts w:hint="default" w:ascii="Times New Roman" w:hAnsi="Times New Roman" w:eastAsia="黑体" w:cs="Times New Roman"/>
          <w:b w:val="0"/>
          <w:bCs w:val="0"/>
          <w:color w:val="auto"/>
          <w:lang w:eastAsia="zh-CN"/>
        </w:rPr>
      </w:pPr>
      <w:r>
        <w:rPr>
          <w:rFonts w:hint="eastAsia" w:ascii="Times New Roman" w:hAnsi="Times New Roman" w:eastAsia="楷体_GB2312" w:cs="Times New Roman"/>
          <w:b w:val="0"/>
          <w:bCs w:val="0"/>
          <w:color w:val="auto"/>
          <w:sz w:val="32"/>
          <w:szCs w:val="32"/>
          <w:lang w:val="en-US" w:eastAsia="zh-CN"/>
        </w:rPr>
        <w:t>（五）</w:t>
      </w:r>
      <w:r>
        <w:rPr>
          <w:rFonts w:hint="default" w:ascii="Times New Roman" w:hAnsi="Times New Roman" w:eastAsia="楷体_GB2312" w:cs="Times New Roman"/>
          <w:b w:val="0"/>
          <w:bCs w:val="0"/>
          <w:color w:val="auto"/>
          <w:sz w:val="32"/>
          <w:szCs w:val="32"/>
          <w:lang w:val="en-US" w:eastAsia="zh-CN"/>
        </w:rPr>
        <w:t>监督保障方面。</w:t>
      </w:r>
      <w:r>
        <w:rPr>
          <w:rFonts w:hint="default" w:ascii="Times New Roman" w:hAnsi="Times New Roman" w:eastAsia="仿宋_GB2312" w:cs="Times New Roman"/>
          <w:color w:val="auto"/>
          <w:sz w:val="32"/>
          <w:szCs w:val="32"/>
          <w:lang w:eastAsia="zh-CN"/>
        </w:rPr>
        <w:t>健全完善“主要领导牵头、分管领导负责、各科室协同”的工作机制，落实专人负责政府信息公开工作。强化日常监督保障措施，把政府信息公开工</w:t>
      </w:r>
      <w:bookmarkStart w:id="10" w:name="_GoBack"/>
      <w:bookmarkEnd w:id="10"/>
      <w:r>
        <w:rPr>
          <w:rFonts w:hint="default" w:ascii="Times New Roman" w:hAnsi="Times New Roman" w:eastAsia="仿宋_GB2312" w:cs="Times New Roman"/>
          <w:color w:val="auto"/>
          <w:sz w:val="32"/>
          <w:szCs w:val="32"/>
          <w:lang w:eastAsia="zh-CN"/>
        </w:rPr>
        <w:t>作纳入日常工作安排，促进信息公开工作常态化、规范化，积极畅通渠道，广泛接受上级及群众监督。</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default" w:ascii="Times New Roman" w:hAnsi="Times New Roman" w:cs="Times New Roman"/>
        </w:rPr>
      </w:pPr>
      <w:r>
        <w:rPr>
          <w:rFonts w:hint="default" w:ascii="Times New Roman" w:hAnsi="Times New Roman" w:eastAsia="黑体" w:cs="Times New Roman"/>
          <w:b w:val="0"/>
          <w:bCs w:val="0"/>
          <w:color w:val="auto"/>
          <w:lang w:eastAsia="zh-CN"/>
        </w:rPr>
        <w:t>二、</w:t>
      </w:r>
      <w:r>
        <w:rPr>
          <w:rFonts w:hint="default" w:ascii="Times New Roman" w:hAnsi="Times New Roman" w:eastAsia="黑体" w:cs="Times New Roman"/>
          <w:b w:val="0"/>
          <w:bCs w:val="0"/>
          <w:color w:val="auto"/>
        </w:rPr>
        <w:t>主动公开政府信息情况</w:t>
      </w:r>
    </w:p>
    <w:tbl>
      <w:tblPr>
        <w:tblStyle w:val="10"/>
        <w:tblW w:w="9525" w:type="dxa"/>
        <w:tblInd w:w="-494" w:type="dxa"/>
        <w:tblLayout w:type="fixed"/>
        <w:tblCellMar>
          <w:top w:w="0" w:type="dxa"/>
          <w:left w:w="108" w:type="dxa"/>
          <w:bottom w:w="0" w:type="dxa"/>
          <w:right w:w="108" w:type="dxa"/>
        </w:tblCellMar>
      </w:tblPr>
      <w:tblGrid>
        <w:gridCol w:w="2700"/>
        <w:gridCol w:w="2206"/>
        <w:gridCol w:w="2206"/>
        <w:gridCol w:w="2413"/>
      </w:tblGrid>
      <w:tr>
        <w:tblPrEx>
          <w:tblCellMar>
            <w:top w:w="0" w:type="dxa"/>
            <w:left w:w="108" w:type="dxa"/>
            <w:bottom w:w="0" w:type="dxa"/>
            <w:right w:w="108" w:type="dxa"/>
          </w:tblCellMar>
        </w:tblPrEx>
        <w:trPr>
          <w:trHeight w:val="464" w:hRule="atLeast"/>
        </w:trPr>
        <w:tc>
          <w:tcPr>
            <w:tcW w:w="952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13"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41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44"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FF0000"/>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FF0000"/>
                <w:kern w:val="0"/>
                <w:szCs w:val="21"/>
              </w:rPr>
            </w:pPr>
            <w:r>
              <w:rPr>
                <w:rFonts w:hint="default" w:ascii="Times New Roman" w:hAnsi="Times New Roman" w:eastAsia="仿宋_GB2312" w:cs="Times New Roman"/>
                <w:color w:val="auto"/>
                <w:kern w:val="0"/>
                <w:szCs w:val="21"/>
                <w:lang w:val="en-US" w:eastAsia="zh-CN"/>
              </w:rPr>
              <w:t>0</w:t>
            </w:r>
          </w:p>
        </w:tc>
        <w:tc>
          <w:tcPr>
            <w:tcW w:w="241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FF0000"/>
                <w:kern w:val="0"/>
                <w:szCs w:val="21"/>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90"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FF0000"/>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FF0000"/>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41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FF0000"/>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952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14870</w:t>
            </w:r>
          </w:p>
        </w:tc>
      </w:tr>
      <w:tr>
        <w:tblPrEx>
          <w:tblCellMar>
            <w:top w:w="0" w:type="dxa"/>
            <w:left w:w="108" w:type="dxa"/>
            <w:bottom w:w="0" w:type="dxa"/>
            <w:right w:w="108" w:type="dxa"/>
          </w:tblCellMar>
        </w:tblPrEx>
        <w:trPr>
          <w:trHeight w:val="567" w:hRule="atLeast"/>
        </w:trPr>
        <w:tc>
          <w:tcPr>
            <w:tcW w:w="952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646" w:hRule="atLeast"/>
        </w:trPr>
        <w:tc>
          <w:tcPr>
            <w:tcW w:w="2700" w:type="dxa"/>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454" w:hRule="atLeast"/>
        </w:trPr>
        <w:tc>
          <w:tcPr>
            <w:tcW w:w="2700" w:type="dxa"/>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FF0000"/>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444" w:hRule="atLeast"/>
        </w:trPr>
        <w:tc>
          <w:tcPr>
            <w:tcW w:w="2700" w:type="dxa"/>
            <w:tcBorders>
              <w:top w:val="single" w:color="auto" w:sz="4" w:space="0"/>
              <w:left w:val="single" w:color="auto" w:sz="4"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FF0000"/>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952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396"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20" w:firstLineChars="200"/>
              <w:jc w:val="both"/>
              <w:textAlignment w:val="auto"/>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bl>
    <w:p>
      <w:pPr>
        <w:pStyle w:val="2"/>
        <w:keepNext/>
        <w:keepLines/>
        <w:pageBreakBefore w:val="0"/>
        <w:widowControl w:val="0"/>
        <w:numPr>
          <w:ilvl w:val="0"/>
          <w:numId w:val="2"/>
        </w:numPr>
        <w:kinsoku/>
        <w:wordWrap/>
        <w:overflowPunct/>
        <w:topLinePunct w:val="0"/>
        <w:autoSpaceDE/>
        <w:autoSpaceDN/>
        <w:bidi w:val="0"/>
        <w:adjustRightInd/>
        <w:snapToGrid/>
        <w:spacing w:before="0" w:after="0" w:line="600" w:lineRule="exact"/>
        <w:ind w:left="420" w:leftChars="200" w:right="0" w:rightChars="0" w:firstLine="0" w:firstLineChars="0"/>
        <w:jc w:val="both"/>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2"/>
        <w:gridCol w:w="540"/>
        <w:gridCol w:w="54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448" w:type="dxa"/>
            <w:gridSpan w:val="8"/>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仿宋_GB2312" w:cs="Times New Roman"/>
                <w:szCs w:val="21"/>
              </w:rPr>
            </w:pPr>
          </w:p>
        </w:tc>
        <w:tc>
          <w:tcPr>
            <w:tcW w:w="74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005"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701" w:type="dxa"/>
            <w:gridSpan w:val="2"/>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仿宋_GB2312" w:cs="Times New Roman"/>
                <w:szCs w:val="21"/>
              </w:rPr>
            </w:pPr>
          </w:p>
        </w:tc>
        <w:tc>
          <w:tcPr>
            <w:tcW w:w="742"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szCs w:val="21"/>
              </w:rPr>
            </w:pP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701"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3</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1</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2"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3"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3"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0"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2"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3"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5"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2"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1"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2"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210" w:firstLineChars="10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48" w:hRule="atLeas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20" w:hRule="atLeas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eastAsia="zh-CN"/>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color w:val="FF0000"/>
                <w:szCs w:val="21"/>
                <w:lang w:val="en-US"/>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3</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7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4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bl>
    <w:p>
      <w:pPr>
        <w:keepNext w:val="0"/>
        <w:keepLines w:val="0"/>
        <w:pageBreakBefore w:val="0"/>
        <w:kinsoku/>
        <w:wordWrap/>
        <w:overflowPunct/>
        <w:topLinePunct w:val="0"/>
        <w:autoSpaceDE/>
        <w:autoSpaceDN/>
        <w:bidi w:val="0"/>
        <w:adjustRightInd/>
        <w:snapToGrid/>
        <w:spacing w:line="600" w:lineRule="exact"/>
        <w:ind w:left="420" w:leftChars="0" w:right="0" w:rightChars="0" w:firstLine="320" w:firstLineChars="0"/>
        <w:textAlignment w:val="auto"/>
        <w:rPr>
          <w:rFonts w:hint="default" w:ascii="Times New Roman" w:hAnsi="Times New Roman" w:eastAsia="黑体" w:cs="Times New Roman"/>
          <w:b w:val="0"/>
          <w:bCs w:val="0"/>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left="420" w:leftChars="0" w:right="0" w:rightChars="0" w:firstLine="320" w:firstLineChars="0"/>
        <w:textAlignment w:val="auto"/>
        <w:rPr>
          <w:rFonts w:hint="default" w:ascii="Times New Roman" w:hAnsi="Times New Roman" w:eastAsia="黑体" w:cs="Times New Roman"/>
          <w:b w:val="0"/>
          <w:bCs w:val="0"/>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left="420" w:leftChars="0" w:right="0" w:rightChars="0" w:firstLine="320" w:firstLineChars="0"/>
        <w:textAlignment w:val="auto"/>
        <w:rPr>
          <w:rFonts w:hint="default" w:ascii="Times New Roman" w:hAnsi="Times New Roman" w:eastAsia="黑体" w:cs="Times New Roman"/>
          <w:b w:val="0"/>
          <w:bCs w:val="0"/>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left="420" w:leftChars="0" w:right="0" w:rightChars="0" w:firstLine="320" w:firstLineChars="0"/>
        <w:textAlignment w:val="auto"/>
        <w:rPr>
          <w:rFonts w:hint="default" w:ascii="Times New Roman" w:hAnsi="Times New Roman" w:eastAsia="黑体" w:cs="Times New Roman"/>
          <w:b w:val="0"/>
          <w:bCs w:val="0"/>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left="420" w:leftChars="0" w:right="0" w:rightChars="0" w:firstLine="320" w:firstLineChars="0"/>
        <w:textAlignment w:val="auto"/>
        <w:rPr>
          <w:rFonts w:hint="default" w:ascii="Times New Roman" w:hAnsi="Times New Roman" w:eastAsia="黑体" w:cs="Times New Roman"/>
          <w:b w:val="0"/>
          <w:bCs w:val="0"/>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left="420" w:leftChars="0" w:right="0" w:rightChars="0" w:firstLine="320" w:firstLineChars="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四、政府信息公开行政复议、行政诉讼情况</w:t>
      </w:r>
    </w:p>
    <w:tbl>
      <w:tblPr>
        <w:tblStyle w:val="10"/>
        <w:tblW w:w="941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9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3"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633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6"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36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65"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hanging="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2" w:leftChars="0" w:right="0" w:rightChars="0" w:hanging="2" w:hangingChars="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94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94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lang w:eastAsia="zh-CN"/>
        </w:rPr>
        <w:t>五、</w:t>
      </w:r>
      <w:r>
        <w:rPr>
          <w:rFonts w:hint="default" w:ascii="Times New Roman" w:hAnsi="Times New Roman" w:eastAsia="黑体" w:cs="Times New Roman"/>
          <w:b w:val="0"/>
          <w:bCs w:val="0"/>
          <w:color w:val="auto"/>
        </w:rPr>
        <w:t>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存在问题：</w:t>
      </w:r>
      <w:r>
        <w:rPr>
          <w:rFonts w:hint="default" w:ascii="Times New Roman" w:hAnsi="Times New Roman" w:eastAsia="仿宋_GB2312" w:cs="Times New Roman"/>
          <w:color w:val="auto"/>
          <w:sz w:val="32"/>
          <w:szCs w:val="32"/>
          <w:lang w:val="en-US" w:eastAsia="zh-CN"/>
        </w:rPr>
        <w:t>一是公开内容深度</w:t>
      </w:r>
      <w:r>
        <w:rPr>
          <w:rFonts w:hint="default" w:ascii="Times New Roman" w:hAnsi="Times New Roman" w:eastAsia="仿宋_GB2312" w:cs="Times New Roman"/>
          <w:color w:val="auto"/>
          <w:sz w:val="32"/>
          <w:szCs w:val="32"/>
          <w:lang w:val="en-US" w:eastAsia="zh-CN"/>
        </w:rPr>
        <w:t>进一步提升</w:t>
      </w:r>
      <w:r>
        <w:rPr>
          <w:rFonts w:hint="default" w:ascii="Times New Roman" w:hAnsi="Times New Roman" w:eastAsia="仿宋_GB2312" w:cs="Times New Roman"/>
          <w:color w:val="auto"/>
          <w:sz w:val="32"/>
          <w:szCs w:val="32"/>
          <w:lang w:val="en-US" w:eastAsia="zh-CN"/>
        </w:rPr>
        <w:t>，对群众关心的审批流程细节、政策适用边界等解读不够透彻，难以完全满足群众精准获取信息的需求；二是队伍专业能力有待强化，部分工作人员对信息公开条例理解不够深入，业务办理规范化程度存在提升空间。</w:t>
      </w:r>
    </w:p>
    <w:p>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改进措施：</w:t>
      </w:r>
      <w:r>
        <w:rPr>
          <w:rFonts w:hint="default" w:ascii="Times New Roman" w:hAnsi="Times New Roman" w:eastAsia="仿宋_GB2312" w:cs="Times New Roman"/>
          <w:color w:val="auto"/>
          <w:kern w:val="2"/>
          <w:sz w:val="32"/>
          <w:szCs w:val="32"/>
          <w:lang w:val="en-US" w:eastAsia="zh-CN" w:bidi="ar-SA"/>
        </w:rPr>
        <w:t>一是聚焦公开内容深化，结合群众需求导向，丰富</w:t>
      </w:r>
      <w:r>
        <w:rPr>
          <w:rFonts w:hint="default" w:ascii="Times New Roman" w:hAnsi="Times New Roman" w:eastAsia="仿宋_GB2312" w:cs="Times New Roman"/>
          <w:color w:val="auto"/>
          <w:kern w:val="2"/>
          <w:sz w:val="32"/>
          <w:szCs w:val="32"/>
          <w:lang w:val="en-US" w:eastAsia="zh-CN" w:bidi="ar-SA"/>
        </w:rPr>
        <w:t>信息公开内容</w:t>
      </w:r>
      <w:r>
        <w:rPr>
          <w:rFonts w:hint="default" w:ascii="Times New Roman" w:hAnsi="Times New Roman" w:eastAsia="仿宋_GB2312" w:cs="Times New Roman"/>
          <w:color w:val="auto"/>
          <w:kern w:val="2"/>
          <w:sz w:val="32"/>
          <w:szCs w:val="32"/>
          <w:lang w:val="en-US" w:eastAsia="zh-CN" w:bidi="ar-SA"/>
        </w:rPr>
        <w:t>，着力提升信息公开的精准性和实用性</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二是</w:t>
      </w:r>
      <w:r>
        <w:rPr>
          <w:rFonts w:hint="default" w:ascii="Times New Roman" w:hAnsi="Times New Roman" w:eastAsia="仿宋_GB2312" w:cs="Times New Roman"/>
          <w:color w:val="auto"/>
          <w:kern w:val="2"/>
          <w:sz w:val="32"/>
          <w:szCs w:val="32"/>
          <w:lang w:val="en-US" w:eastAsia="zh-CN" w:bidi="ar-SA"/>
        </w:rPr>
        <w:t>狠</w:t>
      </w:r>
      <w:r>
        <w:rPr>
          <w:rFonts w:hint="default" w:ascii="Times New Roman" w:hAnsi="Times New Roman" w:eastAsia="仿宋_GB2312" w:cs="Times New Roman"/>
          <w:color w:val="auto"/>
          <w:kern w:val="2"/>
          <w:sz w:val="32"/>
          <w:szCs w:val="32"/>
          <w:lang w:val="en-US" w:eastAsia="zh-CN" w:bidi="ar-SA"/>
        </w:rPr>
        <w:t>抓队伍能力建设，针对性开展业务培训，加深工作人员对信息公开条例的理解掌握，持续提升</w:t>
      </w:r>
      <w:r>
        <w:rPr>
          <w:rFonts w:hint="default" w:ascii="Times New Roman" w:hAnsi="Times New Roman" w:eastAsia="仿宋_GB2312" w:cs="Times New Roman"/>
          <w:color w:val="auto"/>
          <w:kern w:val="2"/>
          <w:sz w:val="32"/>
          <w:szCs w:val="32"/>
          <w:lang w:val="en-US" w:eastAsia="zh-CN" w:bidi="ar-SA"/>
        </w:rPr>
        <w:t>信息公开</w:t>
      </w:r>
      <w:r>
        <w:rPr>
          <w:rFonts w:hint="default" w:ascii="Times New Roman" w:hAnsi="Times New Roman" w:eastAsia="仿宋_GB2312" w:cs="Times New Roman"/>
          <w:color w:val="auto"/>
          <w:kern w:val="2"/>
          <w:sz w:val="32"/>
          <w:szCs w:val="32"/>
          <w:lang w:val="en-US" w:eastAsia="zh-CN" w:bidi="ar-SA"/>
        </w:rPr>
        <w:t>专业化水平。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eastAsia="zh-CN"/>
        </w:rPr>
        <w:t>）收取信息处理费情况。</w:t>
      </w:r>
      <w:r>
        <w:rPr>
          <w:rFonts w:hint="default" w:ascii="Times New Roman" w:hAnsi="Times New Roman" w:eastAsia="仿宋_GB2312" w:cs="Times New Roman"/>
          <w:color w:val="auto"/>
          <w:sz w:val="32"/>
          <w:szCs w:val="32"/>
          <w:lang w:eastAsia="zh-CN"/>
        </w:rPr>
        <w:t>本年度政府信息公开申请未达到《政府信息公开信息处理费管理办法》（国办函〔2020〕109号）所规定的信息处理费收费标准，故未收取信息处理费。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）落实上级年度政务公开工作情况。</w:t>
      </w:r>
      <w:r>
        <w:rPr>
          <w:rFonts w:hint="default" w:ascii="Times New Roman" w:hAnsi="Times New Roman" w:eastAsia="仿宋_GB2312" w:cs="Times New Roman"/>
          <w:color w:val="auto"/>
          <w:sz w:val="32"/>
          <w:szCs w:val="32"/>
          <w:lang w:eastAsia="zh-CN"/>
        </w:rPr>
        <w:t>对照</w:t>
      </w:r>
      <w:r>
        <w:rPr>
          <w:rFonts w:hint="default" w:ascii="Times New Roman" w:hAnsi="Times New Roman" w:eastAsia="仿宋_GB2312" w:cs="Times New Roman"/>
          <w:color w:val="auto"/>
          <w:sz w:val="32"/>
          <w:szCs w:val="32"/>
          <w:lang w:eastAsia="zh-CN"/>
        </w:rPr>
        <w:t>上级政务公开工作要求</w:t>
      </w:r>
      <w:r>
        <w:rPr>
          <w:rFonts w:hint="default" w:ascii="Times New Roman" w:hAnsi="Times New Roman" w:eastAsia="仿宋_GB2312" w:cs="Times New Roman"/>
          <w:color w:val="auto"/>
          <w:sz w:val="32"/>
          <w:szCs w:val="32"/>
          <w:lang w:eastAsia="zh-CN"/>
        </w:rPr>
        <w:t>，围绕重点领域信息公开、政策发布解读与回应、政民互动、基层政务公开标准化规范化建设和工作保障和落实逐项明确责任主体和完成时限。</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eastAsia="zh-CN"/>
        </w:rPr>
        <w:t>）人大代表建议和政协提案办理情况。</w:t>
      </w:r>
      <w:r>
        <w:rPr>
          <w:rFonts w:hint="default" w:ascii="Times New Roman" w:hAnsi="Times New Roman" w:eastAsia="仿宋_GB2312" w:cs="Times New Roman"/>
          <w:i w:val="0"/>
          <w:caps w:val="0"/>
          <w:color w:val="000000"/>
          <w:spacing w:val="0"/>
          <w:kern w:val="0"/>
          <w:sz w:val="32"/>
          <w:szCs w:val="32"/>
          <w:lang w:val="en-US" w:eastAsia="zh-CN" w:bidi="ar"/>
        </w:rPr>
        <w:t>2</w:t>
      </w:r>
      <w:r>
        <w:rPr>
          <w:rFonts w:hint="default" w:ascii="Times New Roman" w:hAnsi="Times New Roman" w:eastAsia="仿宋_GB2312" w:cs="Times New Roman"/>
          <w:color w:val="auto"/>
          <w:sz w:val="32"/>
          <w:szCs w:val="32"/>
          <w:lang w:val="en-US" w:eastAsia="zh-CN"/>
        </w:rPr>
        <w:t>025年度共收到区人大建议1件，</w:t>
      </w:r>
      <w:r>
        <w:rPr>
          <w:rFonts w:hint="default" w:ascii="Times New Roman" w:hAnsi="Times New Roman" w:eastAsia="仿宋_GB2312" w:cs="Times New Roman"/>
          <w:color w:val="auto"/>
          <w:sz w:val="32"/>
          <w:szCs w:val="32"/>
          <w:lang w:val="en-US" w:eastAsia="zh-CN"/>
        </w:rPr>
        <w:t>作为</w:t>
      </w:r>
      <w:r>
        <w:rPr>
          <w:rFonts w:hint="default" w:ascii="Times New Roman" w:hAnsi="Times New Roman" w:eastAsia="仿宋_GB2312" w:cs="Times New Roman"/>
          <w:color w:val="auto"/>
          <w:sz w:val="32"/>
          <w:szCs w:val="32"/>
          <w:lang w:val="en-US" w:eastAsia="zh-CN"/>
        </w:rPr>
        <w:t>主</w:t>
      </w:r>
      <w:r>
        <w:rPr>
          <w:rFonts w:hint="default" w:ascii="Times New Roman" w:hAnsi="Times New Roman" w:eastAsia="仿宋_GB2312" w:cs="Times New Roman"/>
          <w:color w:val="auto"/>
          <w:sz w:val="32"/>
          <w:szCs w:val="32"/>
          <w:lang w:val="en-US" w:eastAsia="zh-CN"/>
        </w:rPr>
        <w:t>办单位的</w:t>
      </w:r>
      <w:r>
        <w:rPr>
          <w:rFonts w:hint="default" w:ascii="Times New Roman" w:hAnsi="Times New Roman" w:eastAsia="仿宋_GB2312" w:cs="Times New Roman"/>
          <w:color w:val="auto"/>
          <w:sz w:val="32"/>
          <w:szCs w:val="32"/>
          <w:lang w:val="en-US" w:eastAsia="zh-CN"/>
        </w:rPr>
        <w:t>区人大建议共1</w:t>
      </w:r>
      <w:r>
        <w:rPr>
          <w:rFonts w:hint="default"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内容涉及</w:t>
      </w:r>
      <w:r>
        <w:rPr>
          <w:rFonts w:hint="default" w:ascii="Times New Roman" w:hAnsi="Times New Roman" w:eastAsia="仿宋_GB2312" w:cs="Times New Roman"/>
          <w:color w:val="auto"/>
          <w:sz w:val="32"/>
          <w:szCs w:val="32"/>
          <w:lang w:val="en-US" w:eastAsia="zh-CN"/>
        </w:rPr>
        <w:t>：“关于企业股权变更等业务时间太长太慢的意见和建议提案”；共收到区政协提案10件，</w:t>
      </w:r>
      <w:r>
        <w:rPr>
          <w:rFonts w:hint="default" w:ascii="Times New Roman" w:hAnsi="Times New Roman" w:eastAsia="仿宋_GB2312" w:cs="Times New Roman"/>
          <w:color w:val="auto"/>
          <w:sz w:val="32"/>
          <w:szCs w:val="32"/>
          <w:lang w:val="en-US" w:eastAsia="zh-CN"/>
        </w:rPr>
        <w:t>作为主办单位的</w:t>
      </w:r>
      <w:r>
        <w:rPr>
          <w:rFonts w:hint="default" w:ascii="Times New Roman" w:hAnsi="Times New Roman" w:eastAsia="仿宋_GB2312" w:cs="Times New Roman"/>
          <w:color w:val="auto"/>
          <w:sz w:val="32"/>
          <w:szCs w:val="32"/>
          <w:lang w:val="en-US" w:eastAsia="zh-CN"/>
        </w:rPr>
        <w:t>区政协提案共2</w:t>
      </w:r>
      <w:r>
        <w:rPr>
          <w:rFonts w:hint="default"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内容涉及</w:t>
      </w:r>
      <w:r>
        <w:rPr>
          <w:rFonts w:hint="default" w:ascii="Times New Roman" w:hAnsi="Times New Roman" w:eastAsia="仿宋_GB2312" w:cs="Times New Roman"/>
          <w:color w:val="auto"/>
          <w:sz w:val="32"/>
          <w:szCs w:val="32"/>
          <w:lang w:val="en-US" w:eastAsia="zh-CN"/>
        </w:rPr>
        <w:t>“关</w:t>
      </w:r>
      <w:r>
        <w:rPr>
          <w:rFonts w:hint="default" w:ascii="Times New Roman" w:hAnsi="Times New Roman" w:eastAsia="仿宋_GB2312" w:cs="Times New Roman"/>
          <w:color w:val="auto"/>
          <w:sz w:val="32"/>
          <w:szCs w:val="32"/>
          <w:lang w:val="en-US" w:eastAsia="zh-CN"/>
        </w:rPr>
        <w:t>于推动政务服务向基层延伸打通服务群众“最后一公里”的建议</w:t>
      </w:r>
      <w:r>
        <w:rPr>
          <w:rFonts w:hint="default" w:ascii="Times New Roman" w:hAnsi="Times New Roman" w:eastAsia="仿宋_GB2312" w:cs="Times New Roman"/>
          <w:color w:val="auto"/>
          <w:sz w:val="32"/>
          <w:szCs w:val="32"/>
          <w:lang w:val="en-US" w:eastAsia="zh-CN"/>
        </w:rPr>
        <w:t>”“关于提高机关窗口办事效率的建议”；</w:t>
      </w:r>
      <w:r>
        <w:rPr>
          <w:rFonts w:hint="default" w:ascii="Times New Roman" w:hAnsi="Times New Roman" w:eastAsia="仿宋_GB2312" w:cs="Times New Roman"/>
          <w:color w:val="auto"/>
          <w:sz w:val="32"/>
          <w:szCs w:val="32"/>
          <w:lang w:val="en-US" w:eastAsia="zh-CN"/>
        </w:rPr>
        <w:t>作为</w:t>
      </w:r>
      <w:r>
        <w:rPr>
          <w:rFonts w:hint="default" w:ascii="Times New Roman" w:hAnsi="Times New Roman" w:eastAsia="仿宋_GB2312" w:cs="Times New Roman"/>
          <w:color w:val="auto"/>
          <w:sz w:val="32"/>
          <w:szCs w:val="32"/>
          <w:lang w:val="en-US" w:eastAsia="zh-CN"/>
        </w:rPr>
        <w:t>协</w:t>
      </w:r>
      <w:r>
        <w:rPr>
          <w:rFonts w:hint="default" w:ascii="Times New Roman" w:hAnsi="Times New Roman" w:eastAsia="仿宋_GB2312" w:cs="Times New Roman"/>
          <w:color w:val="auto"/>
          <w:sz w:val="32"/>
          <w:szCs w:val="32"/>
          <w:lang w:val="en-US" w:eastAsia="zh-CN"/>
        </w:rPr>
        <w:t>办单位的</w:t>
      </w:r>
      <w:r>
        <w:rPr>
          <w:rFonts w:hint="default" w:ascii="Times New Roman" w:hAnsi="Times New Roman" w:eastAsia="仿宋_GB2312" w:cs="Times New Roman"/>
          <w:color w:val="auto"/>
          <w:sz w:val="32"/>
          <w:szCs w:val="32"/>
          <w:lang w:val="en-US" w:eastAsia="zh-CN"/>
        </w:rPr>
        <w:t>区政协提案共8</w:t>
      </w:r>
      <w:r>
        <w:rPr>
          <w:rFonts w:hint="default"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内容涉及</w:t>
      </w:r>
      <w:r>
        <w:rPr>
          <w:rFonts w:hint="default" w:ascii="Times New Roman" w:hAnsi="Times New Roman" w:eastAsia="仿宋_GB2312" w:cs="Times New Roman"/>
          <w:color w:val="auto"/>
          <w:sz w:val="32"/>
          <w:szCs w:val="32"/>
          <w:lang w:val="en-US" w:eastAsia="zh-CN"/>
        </w:rPr>
        <w:t>：“关于加快产业结构优化升级高质量推进‘企业满园’行动攻坚突破的建议”“关于促进民营经济高质量发展的策略建议 ”“关于允许超市经营售卖非处方药品的建议”“</w:t>
      </w:r>
      <w:r>
        <w:rPr>
          <w:rFonts w:hint="default" w:ascii="Times New Roman" w:hAnsi="Times New Roman" w:eastAsia="仿宋_GB2312" w:cs="Times New Roman"/>
          <w:color w:val="auto"/>
          <w:sz w:val="32"/>
          <w:szCs w:val="32"/>
          <w:lang w:val="en-US" w:eastAsia="zh-CN"/>
        </w:rPr>
        <w:tab/>
      </w:r>
      <w:r>
        <w:rPr>
          <w:rFonts w:hint="default" w:ascii="Times New Roman" w:hAnsi="Times New Roman" w:eastAsia="仿宋_GB2312" w:cs="Times New Roman"/>
          <w:color w:val="auto"/>
          <w:sz w:val="32"/>
          <w:szCs w:val="32"/>
          <w:lang w:val="en-US" w:eastAsia="zh-CN"/>
        </w:rPr>
        <w:t>进一步出台有区域优势的优惠政策促进全区首发经济发展的建议”“关于薛城区放开小作坊生产许可激发民间经济活力的政协提案”“关于进一步优化营商环境吸引客商投资的建议”“提振企业家信心助力高质量发展”“关于薛城区促进实体经济高质量发展路径的建议”。</w:t>
      </w:r>
      <w:r>
        <w:rPr>
          <w:rFonts w:hint="default" w:ascii="Times New Roman" w:hAnsi="Times New Roman" w:eastAsia="仿宋_GB2312" w:cs="Times New Roman"/>
          <w:color w:val="auto"/>
          <w:sz w:val="32"/>
          <w:szCs w:val="32"/>
          <w:lang w:val="en-US" w:eastAsia="zh-CN"/>
        </w:rPr>
        <w:t>截至</w:t>
      </w:r>
      <w:r>
        <w:rPr>
          <w:rFonts w:hint="default" w:ascii="Times New Roman" w:hAnsi="Times New Roman" w:eastAsia="仿宋_GB2312" w:cs="Times New Roman"/>
          <w:color w:val="auto"/>
          <w:sz w:val="32"/>
          <w:szCs w:val="32"/>
          <w:lang w:val="en-US" w:eastAsia="zh-CN"/>
        </w:rPr>
        <w:t>目前我局涉及所有政协</w:t>
      </w:r>
      <w:r>
        <w:rPr>
          <w:rFonts w:hint="default" w:ascii="Times New Roman" w:hAnsi="Times New Roman" w:eastAsia="仿宋_GB2312" w:cs="Times New Roman"/>
          <w:color w:val="auto"/>
          <w:sz w:val="32"/>
          <w:szCs w:val="32"/>
          <w:lang w:val="en-US" w:eastAsia="zh-CN"/>
        </w:rPr>
        <w:t>提案</w:t>
      </w:r>
      <w:r>
        <w:rPr>
          <w:rFonts w:hint="default" w:ascii="Times New Roman" w:hAnsi="Times New Roman" w:eastAsia="仿宋_GB2312" w:cs="Times New Roman"/>
          <w:color w:val="auto"/>
          <w:sz w:val="32"/>
          <w:szCs w:val="32"/>
          <w:lang w:val="en-US" w:eastAsia="zh-CN"/>
        </w:rPr>
        <w:t>及人大建议</w:t>
      </w:r>
      <w:r>
        <w:rPr>
          <w:rFonts w:hint="default" w:ascii="Times New Roman" w:hAnsi="Times New Roman" w:eastAsia="仿宋_GB2312" w:cs="Times New Roman"/>
          <w:color w:val="auto"/>
          <w:sz w:val="32"/>
          <w:szCs w:val="32"/>
          <w:lang w:val="en-US" w:eastAsia="zh-CN"/>
        </w:rPr>
        <w:t>均已</w:t>
      </w:r>
      <w:r>
        <w:rPr>
          <w:rFonts w:hint="default" w:ascii="Times New Roman" w:hAnsi="Times New Roman" w:eastAsia="仿宋_GB2312" w:cs="Times New Roman"/>
          <w:color w:val="auto"/>
          <w:sz w:val="32"/>
          <w:szCs w:val="32"/>
          <w:lang w:val="en-US" w:eastAsia="zh-CN"/>
        </w:rPr>
        <w:t>高质量</w:t>
      </w:r>
      <w:r>
        <w:rPr>
          <w:rFonts w:hint="default" w:ascii="Times New Roman" w:hAnsi="Times New Roman" w:eastAsia="仿宋_GB2312" w:cs="Times New Roman"/>
          <w:color w:val="auto"/>
          <w:sz w:val="32"/>
          <w:szCs w:val="32"/>
          <w:lang w:val="en-US" w:eastAsia="zh-CN"/>
        </w:rPr>
        <w:t>办理</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val="en-US" w:eastAsia="zh-CN"/>
        </w:rPr>
        <w:t>答复完毕。</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eastAsia="zh-CN"/>
        </w:rPr>
        <w:t>）开展政务公开创新方面。</w:t>
      </w:r>
      <w:r>
        <w:rPr>
          <w:rFonts w:hint="default" w:ascii="Times New Roman" w:hAnsi="Times New Roman" w:eastAsia="仿宋_GB2312" w:cs="Times New Roman"/>
          <w:color w:val="auto"/>
          <w:sz w:val="32"/>
          <w:szCs w:val="32"/>
          <w:lang w:val="en-US" w:eastAsia="zh-CN"/>
        </w:rPr>
        <w:t>薛城区行政审批服务局</w:t>
      </w:r>
      <w:r>
        <w:rPr>
          <w:rFonts w:hint="default" w:ascii="Times New Roman" w:hAnsi="Times New Roman" w:eastAsia="仿宋_GB2312" w:cs="Times New Roman"/>
          <w:color w:val="auto"/>
          <w:sz w:val="32"/>
          <w:szCs w:val="32"/>
          <w:lang w:val="en-US" w:eastAsia="zh-CN"/>
        </w:rPr>
        <w:t>通过设立“薛城区政务公开专区”，开展</w:t>
      </w:r>
      <w:r>
        <w:rPr>
          <w:rFonts w:hint="default" w:ascii="Times New Roman" w:hAnsi="Times New Roman" w:eastAsia="仿宋_GB2312" w:cs="Times New Roman"/>
          <w:color w:val="auto"/>
          <w:sz w:val="32"/>
          <w:szCs w:val="32"/>
          <w:lang w:eastAsia="zh-CN"/>
        </w:rPr>
        <w:t>政府开放日等</w:t>
      </w:r>
      <w:r>
        <w:rPr>
          <w:rFonts w:hint="default" w:ascii="Times New Roman" w:hAnsi="Times New Roman" w:eastAsia="仿宋_GB2312" w:cs="Times New Roman"/>
          <w:color w:val="auto"/>
          <w:sz w:val="32"/>
          <w:szCs w:val="32"/>
          <w:lang w:val="en-US" w:eastAsia="zh-CN"/>
        </w:rPr>
        <w:t>活动，进一步创新政务公开工作方式。</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kern w:val="2"/>
          <w:sz w:val="32"/>
          <w:szCs w:val="32"/>
          <w:lang w:val="en-US" w:eastAsia="zh-CN" w:bidi="ar-SA"/>
        </w:rPr>
        <w:t>（五）</w:t>
      </w:r>
      <w:r>
        <w:rPr>
          <w:rFonts w:hint="default" w:ascii="Times New Roman" w:hAnsi="Times New Roman" w:eastAsia="楷体_GB2312" w:cs="Times New Roman"/>
          <w:color w:val="auto"/>
          <w:kern w:val="2"/>
          <w:sz w:val="32"/>
          <w:szCs w:val="32"/>
          <w:lang w:val="en-US" w:eastAsia="zh-CN" w:bidi="ar-SA"/>
        </w:rPr>
        <w:t>本年度报告的电子版可以在“薛城区政府门户网站”（http://xxgk.xuecheng.gov.cn/xxgknb/202</w:t>
      </w:r>
      <w:r>
        <w:rPr>
          <w:rFonts w:hint="default" w:ascii="Times New Roman" w:hAnsi="Times New Roman" w:eastAsia="楷体_GB2312" w:cs="Times New Roman"/>
          <w:color w:val="auto"/>
          <w:kern w:val="2"/>
          <w:sz w:val="32"/>
          <w:szCs w:val="32"/>
          <w:lang w:val="en-US" w:eastAsia="zh-CN" w:bidi="ar-SA"/>
        </w:rPr>
        <w:t>5</w:t>
      </w:r>
      <w:r>
        <w:rPr>
          <w:rFonts w:hint="default" w:ascii="Times New Roman" w:hAnsi="Times New Roman" w:eastAsia="楷体_GB2312" w:cs="Times New Roman"/>
          <w:color w:val="auto"/>
          <w:kern w:val="2"/>
          <w:sz w:val="32"/>
          <w:szCs w:val="32"/>
          <w:lang w:val="en-US" w:eastAsia="zh-CN" w:bidi="ar-SA"/>
        </w:rPr>
        <w:t>xxgknb/)下载。</w:t>
      </w:r>
      <w:r>
        <w:rPr>
          <w:rFonts w:hint="default" w:ascii="Times New Roman" w:hAnsi="Times New Roman" w:eastAsia="仿宋_GB2312" w:cs="Times New Roman"/>
          <w:color w:val="auto"/>
          <w:kern w:val="2"/>
          <w:sz w:val="32"/>
          <w:szCs w:val="32"/>
          <w:lang w:val="en-US" w:eastAsia="zh-CN" w:bidi="ar-SA"/>
        </w:rPr>
        <w:t>如对本报告有疑问，可与</w:t>
      </w:r>
      <w:r>
        <w:rPr>
          <w:rFonts w:hint="default" w:ascii="Times New Roman" w:hAnsi="Times New Roman" w:eastAsia="仿宋_GB2312" w:cs="Times New Roman"/>
          <w:color w:val="auto"/>
          <w:kern w:val="2"/>
          <w:sz w:val="32"/>
          <w:szCs w:val="32"/>
          <w:lang w:val="en-US" w:eastAsia="zh-CN" w:bidi="ar-SA"/>
        </w:rPr>
        <w:t>枣庄市</w:t>
      </w:r>
      <w:r>
        <w:rPr>
          <w:rFonts w:hint="default" w:ascii="Times New Roman" w:hAnsi="Times New Roman" w:eastAsia="仿宋_GB2312" w:cs="Times New Roman"/>
          <w:color w:val="auto"/>
          <w:sz w:val="32"/>
          <w:szCs w:val="32"/>
          <w:lang w:val="en-US" w:eastAsia="zh-CN"/>
        </w:rPr>
        <w:t>薛城区行政审批服务局</w:t>
      </w:r>
      <w:r>
        <w:rPr>
          <w:rFonts w:hint="default" w:ascii="Times New Roman" w:hAnsi="Times New Roman" w:eastAsia="仿宋_GB2312" w:cs="Times New Roman"/>
          <w:color w:val="auto"/>
          <w:kern w:val="2"/>
          <w:sz w:val="32"/>
          <w:szCs w:val="32"/>
          <w:lang w:val="en-US" w:eastAsia="zh-CN" w:bidi="ar-SA"/>
        </w:rPr>
        <w:t>联系(地址:枣庄市薛城区黄河路396号，邮编：277000 ，电话：0632—7602077，电子邮箱：spjzcfg@zz.shandong.cn )。</w:t>
      </w:r>
    </w:p>
    <w:p>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p>
    <w:p>
      <w:pPr>
        <w:pageBreakBefore w:val="0"/>
        <w:widowControl w:val="0"/>
        <w:kinsoku/>
        <w:wordWrap w:val="0"/>
        <w:overflowPunct/>
        <w:topLinePunct w:val="0"/>
        <w:autoSpaceDE/>
        <w:autoSpaceDN/>
        <w:bidi w:val="0"/>
        <w:adjustRightInd/>
        <w:snapToGrid/>
        <w:spacing w:line="600" w:lineRule="exact"/>
        <w:ind w:left="0" w:leftChars="0" w:right="0" w:rightChars="0" w:firstLine="880" w:firstLineChars="200"/>
        <w:jc w:val="right"/>
        <w:textAlignment w:val="auto"/>
        <w:rPr>
          <w:rFonts w:hint="default" w:ascii="Times New Roman" w:hAnsi="Times New Roman" w:eastAsia="方正小标宋简体" w:cs="Times New Roman"/>
          <w:color w:val="auto"/>
          <w:sz w:val="44"/>
          <w:szCs w:val="44"/>
          <w:highlight w:val="none"/>
          <w:lang w:val="en-US" w:eastAsia="zh-CN"/>
        </w:rPr>
      </w:pPr>
    </w:p>
    <w:sectPr>
      <w:footerReference r:id="rId3" w:type="default"/>
      <w:pgSz w:w="11906" w:h="16838"/>
      <w:pgMar w:top="1701" w:right="1701" w:bottom="1701" w:left="1701" w:header="1134" w:footer="113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汉仪行楷简">
    <w:panose1 w:val="02010600000101010101"/>
    <w:charset w:val="86"/>
    <w:family w:val="auto"/>
    <w:pitch w:val="default"/>
    <w:sig w:usb0="00000001" w:usb1="080E0800" w:usb2="00000002"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隶书_GBK">
    <w:panose1 w:val="02000000000000000000"/>
    <w:charset w:val="86"/>
    <w:family w:val="auto"/>
    <w:pitch w:val="default"/>
    <w:sig w:usb0="A00002BF" w:usb1="38CF7CFA" w:usb2="00082016" w:usb3="00000000" w:csb0="00040001" w:csb1="00000000"/>
  </w:font>
  <w:font w:name="汉仪中等线简">
    <w:panose1 w:val="02010600000101010101"/>
    <w:charset w:val="86"/>
    <w:family w:val="auto"/>
    <w:pitch w:val="default"/>
    <w:sig w:usb0="00000001" w:usb1="080E0800" w:usb2="00000002" w:usb3="00000000" w:csb0="00040000" w:csb1="00000000"/>
  </w:font>
  <w:font w:name="CESI宋体-GB2312">
    <w:panose1 w:val="02000500000000000000"/>
    <w:charset w:val="86"/>
    <w:family w:val="auto"/>
    <w:pitch w:val="default"/>
    <w:sig w:usb0="800002AF" w:usb1="08476CF8" w:usb2="00000010" w:usb3="00000000" w:csb0="0004000F" w:csb1="00000000"/>
  </w:font>
  <w:font w:name="Calibri Light">
    <w:panose1 w:val="020F0302020204030204"/>
    <w:charset w:val="00"/>
    <w:family w:val="auto"/>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76895"/>
    <w:multiLevelType w:val="singleLevel"/>
    <w:tmpl w:val="A0076895"/>
    <w:lvl w:ilvl="0" w:tentative="0">
      <w:start w:val="3"/>
      <w:numFmt w:val="chineseCounting"/>
      <w:suff w:val="nothing"/>
      <w:lvlText w:val="%1、"/>
      <w:lvlJc w:val="left"/>
      <w:rPr>
        <w:rFonts w:hint="eastAsia"/>
      </w:rPr>
    </w:lvl>
  </w:abstractNum>
  <w:abstractNum w:abstractNumId="1">
    <w:nsid w:val="CED08779"/>
    <w:multiLevelType w:val="singleLevel"/>
    <w:tmpl w:val="CED0877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ZjFkODA0MDg1ZGVlYmIwYTkwOTMxZTk2NTU0MzcifQ=="/>
    <w:docVar w:name="KSO_WPS_MARK_KEY" w:val="88c572e1-f626-468a-aabe-2cc5cd5505ef"/>
  </w:docVars>
  <w:rsids>
    <w:rsidRoot w:val="003316E4"/>
    <w:rsid w:val="00085E63"/>
    <w:rsid w:val="000A488F"/>
    <w:rsid w:val="00245594"/>
    <w:rsid w:val="003316E4"/>
    <w:rsid w:val="003A61D1"/>
    <w:rsid w:val="00442F9E"/>
    <w:rsid w:val="005B551A"/>
    <w:rsid w:val="00655FDA"/>
    <w:rsid w:val="00661709"/>
    <w:rsid w:val="0069741E"/>
    <w:rsid w:val="00913298"/>
    <w:rsid w:val="009413F4"/>
    <w:rsid w:val="0097156F"/>
    <w:rsid w:val="00A300EE"/>
    <w:rsid w:val="00A7354C"/>
    <w:rsid w:val="00AE756C"/>
    <w:rsid w:val="00AF76BF"/>
    <w:rsid w:val="00B24616"/>
    <w:rsid w:val="00CA4015"/>
    <w:rsid w:val="00F72E0F"/>
    <w:rsid w:val="00FF6B82"/>
    <w:rsid w:val="01457002"/>
    <w:rsid w:val="0265792B"/>
    <w:rsid w:val="02A037E7"/>
    <w:rsid w:val="02BC3862"/>
    <w:rsid w:val="02E220EA"/>
    <w:rsid w:val="03822CFE"/>
    <w:rsid w:val="03906A9D"/>
    <w:rsid w:val="040F20B8"/>
    <w:rsid w:val="04333FF8"/>
    <w:rsid w:val="044C0C16"/>
    <w:rsid w:val="05341DD6"/>
    <w:rsid w:val="05594AD8"/>
    <w:rsid w:val="0589542D"/>
    <w:rsid w:val="058E6854"/>
    <w:rsid w:val="06064384"/>
    <w:rsid w:val="061B0521"/>
    <w:rsid w:val="06253E14"/>
    <w:rsid w:val="06BA630B"/>
    <w:rsid w:val="088B4663"/>
    <w:rsid w:val="08AE7C29"/>
    <w:rsid w:val="09065CBE"/>
    <w:rsid w:val="091D4A82"/>
    <w:rsid w:val="09424A96"/>
    <w:rsid w:val="09C676BC"/>
    <w:rsid w:val="0B297854"/>
    <w:rsid w:val="0C3B6140"/>
    <w:rsid w:val="0C74500A"/>
    <w:rsid w:val="0C782EF0"/>
    <w:rsid w:val="0DA675E9"/>
    <w:rsid w:val="0DAC3269"/>
    <w:rsid w:val="0F2F244D"/>
    <w:rsid w:val="0F8907FF"/>
    <w:rsid w:val="104A4BA3"/>
    <w:rsid w:val="111807FE"/>
    <w:rsid w:val="11CC69CB"/>
    <w:rsid w:val="122F18D1"/>
    <w:rsid w:val="125C296C"/>
    <w:rsid w:val="12A85BB1"/>
    <w:rsid w:val="130C3EBB"/>
    <w:rsid w:val="13DD7927"/>
    <w:rsid w:val="13FB325E"/>
    <w:rsid w:val="14830684"/>
    <w:rsid w:val="14C80C8B"/>
    <w:rsid w:val="14ED5117"/>
    <w:rsid w:val="16A13043"/>
    <w:rsid w:val="17485BB5"/>
    <w:rsid w:val="17563E2E"/>
    <w:rsid w:val="17991F6C"/>
    <w:rsid w:val="18076160"/>
    <w:rsid w:val="1A7E3710"/>
    <w:rsid w:val="1CE046C9"/>
    <w:rsid w:val="1D246914"/>
    <w:rsid w:val="1D5744D2"/>
    <w:rsid w:val="1E2260FB"/>
    <w:rsid w:val="1F3FCB6C"/>
    <w:rsid w:val="21EA0AC1"/>
    <w:rsid w:val="22617B2B"/>
    <w:rsid w:val="22BF449F"/>
    <w:rsid w:val="23924F3B"/>
    <w:rsid w:val="23E91BF9"/>
    <w:rsid w:val="254D396B"/>
    <w:rsid w:val="270513CC"/>
    <w:rsid w:val="278B3B75"/>
    <w:rsid w:val="2805254F"/>
    <w:rsid w:val="28866DB6"/>
    <w:rsid w:val="29830F29"/>
    <w:rsid w:val="29BD7D3C"/>
    <w:rsid w:val="29CD0B67"/>
    <w:rsid w:val="2B631F9F"/>
    <w:rsid w:val="2BA54F2C"/>
    <w:rsid w:val="2CBE62A5"/>
    <w:rsid w:val="2D326CFE"/>
    <w:rsid w:val="2E534A33"/>
    <w:rsid w:val="2E8B0D06"/>
    <w:rsid w:val="306058C5"/>
    <w:rsid w:val="307774AD"/>
    <w:rsid w:val="31191F05"/>
    <w:rsid w:val="320F6C4C"/>
    <w:rsid w:val="335D0B51"/>
    <w:rsid w:val="33A34927"/>
    <w:rsid w:val="34054559"/>
    <w:rsid w:val="34C603ED"/>
    <w:rsid w:val="35AB42AD"/>
    <w:rsid w:val="36455341"/>
    <w:rsid w:val="36946BC1"/>
    <w:rsid w:val="37873738"/>
    <w:rsid w:val="380D6333"/>
    <w:rsid w:val="383C09C6"/>
    <w:rsid w:val="3885236D"/>
    <w:rsid w:val="390908A8"/>
    <w:rsid w:val="39AD65CB"/>
    <w:rsid w:val="3AEB65B5"/>
    <w:rsid w:val="3AEC0481"/>
    <w:rsid w:val="3C9839FE"/>
    <w:rsid w:val="3CBD0327"/>
    <w:rsid w:val="3D006466"/>
    <w:rsid w:val="3E843D0F"/>
    <w:rsid w:val="3EA17E71"/>
    <w:rsid w:val="3EA66B99"/>
    <w:rsid w:val="3F9F5DC9"/>
    <w:rsid w:val="400F7F20"/>
    <w:rsid w:val="405214DD"/>
    <w:rsid w:val="40CA5738"/>
    <w:rsid w:val="418170EE"/>
    <w:rsid w:val="41A526BD"/>
    <w:rsid w:val="425D3A13"/>
    <w:rsid w:val="445157F9"/>
    <w:rsid w:val="44A967D6"/>
    <w:rsid w:val="464A335A"/>
    <w:rsid w:val="4752316F"/>
    <w:rsid w:val="47595426"/>
    <w:rsid w:val="483671E0"/>
    <w:rsid w:val="48580F04"/>
    <w:rsid w:val="488021D7"/>
    <w:rsid w:val="49035A44"/>
    <w:rsid w:val="49900B72"/>
    <w:rsid w:val="4A0856E1"/>
    <w:rsid w:val="4BDE6C4F"/>
    <w:rsid w:val="4BF03B4A"/>
    <w:rsid w:val="4BFD0F9D"/>
    <w:rsid w:val="4C40062D"/>
    <w:rsid w:val="4D3604FB"/>
    <w:rsid w:val="4D360ADE"/>
    <w:rsid w:val="4E0B4724"/>
    <w:rsid w:val="4F495A4B"/>
    <w:rsid w:val="50967210"/>
    <w:rsid w:val="51BA2989"/>
    <w:rsid w:val="534E602C"/>
    <w:rsid w:val="558D41B7"/>
    <w:rsid w:val="55DB21A8"/>
    <w:rsid w:val="57646F00"/>
    <w:rsid w:val="57820A8D"/>
    <w:rsid w:val="57CF0AB7"/>
    <w:rsid w:val="581B3CFC"/>
    <w:rsid w:val="58D67DC8"/>
    <w:rsid w:val="59184E6E"/>
    <w:rsid w:val="597933D0"/>
    <w:rsid w:val="59E5393F"/>
    <w:rsid w:val="5A5C28B2"/>
    <w:rsid w:val="5AB1058C"/>
    <w:rsid w:val="5AC67873"/>
    <w:rsid w:val="5B3D4951"/>
    <w:rsid w:val="5B4B4927"/>
    <w:rsid w:val="5B991165"/>
    <w:rsid w:val="5BAF4251"/>
    <w:rsid w:val="5BC75126"/>
    <w:rsid w:val="5BFF7477"/>
    <w:rsid w:val="5DDC10CD"/>
    <w:rsid w:val="5DFA61B6"/>
    <w:rsid w:val="5E9640F1"/>
    <w:rsid w:val="5EBF6D9D"/>
    <w:rsid w:val="5EC72965"/>
    <w:rsid w:val="5F84662B"/>
    <w:rsid w:val="5FE4737B"/>
    <w:rsid w:val="615A77AD"/>
    <w:rsid w:val="619C6039"/>
    <w:rsid w:val="638E56DB"/>
    <w:rsid w:val="63A63104"/>
    <w:rsid w:val="63B07B24"/>
    <w:rsid w:val="63C77D26"/>
    <w:rsid w:val="63FE3A6A"/>
    <w:rsid w:val="65662279"/>
    <w:rsid w:val="66E41E42"/>
    <w:rsid w:val="691427CE"/>
    <w:rsid w:val="6D68758C"/>
    <w:rsid w:val="6F241291"/>
    <w:rsid w:val="6FFA1C67"/>
    <w:rsid w:val="6FFB6928"/>
    <w:rsid w:val="70894A62"/>
    <w:rsid w:val="712F365B"/>
    <w:rsid w:val="719A0211"/>
    <w:rsid w:val="71EA67C2"/>
    <w:rsid w:val="72B01473"/>
    <w:rsid w:val="740617BB"/>
    <w:rsid w:val="74533E38"/>
    <w:rsid w:val="74766357"/>
    <w:rsid w:val="75736ACE"/>
    <w:rsid w:val="757D1115"/>
    <w:rsid w:val="75CC2F93"/>
    <w:rsid w:val="75F06371"/>
    <w:rsid w:val="76A44541"/>
    <w:rsid w:val="76EE323C"/>
    <w:rsid w:val="77ED700C"/>
    <w:rsid w:val="78670B6C"/>
    <w:rsid w:val="791D669A"/>
    <w:rsid w:val="7966816D"/>
    <w:rsid w:val="7A200427"/>
    <w:rsid w:val="7A5F7C67"/>
    <w:rsid w:val="7A7C3475"/>
    <w:rsid w:val="7A9C6003"/>
    <w:rsid w:val="7AF34A15"/>
    <w:rsid w:val="7BAB7913"/>
    <w:rsid w:val="7C701FB9"/>
    <w:rsid w:val="7CCC5441"/>
    <w:rsid w:val="7D821FA4"/>
    <w:rsid w:val="7DFC5259"/>
    <w:rsid w:val="7EDF2C5A"/>
    <w:rsid w:val="7EDF4512"/>
    <w:rsid w:val="7F0D2005"/>
    <w:rsid w:val="7F357102"/>
    <w:rsid w:val="7F4B2516"/>
    <w:rsid w:val="7F7FB1B8"/>
    <w:rsid w:val="7FFFF750"/>
    <w:rsid w:val="9D6D127F"/>
    <w:rsid w:val="AF7A6FBA"/>
    <w:rsid w:val="B7FF4F98"/>
    <w:rsid w:val="DBF2523B"/>
    <w:rsid w:val="DF7FB1C9"/>
    <w:rsid w:val="E5FF0888"/>
    <w:rsid w:val="F9FB04F6"/>
    <w:rsid w:val="F9FF528C"/>
    <w:rsid w:val="FAD92635"/>
    <w:rsid w:val="FF5CB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pPr>
      <w:widowControl/>
      <w:spacing w:after="120" w:line="958" w:lineRule="atLeast"/>
      <w:ind w:firstLine="623"/>
      <w:textAlignment w:val="baseline"/>
    </w:pPr>
    <w:rPr>
      <w:rFonts w:ascii="Calibri" w:hAnsi="Calibri" w:eastAsia="仿宋_GB2312"/>
      <w:color w:val="000000"/>
      <w:kern w:val="0"/>
      <w:sz w:val="31"/>
      <w:szCs w:val="24"/>
    </w:rPr>
  </w:style>
  <w:style w:type="paragraph" w:styleId="4">
    <w:name w:val="toc 5"/>
    <w:basedOn w:val="1"/>
    <w:next w:val="1"/>
    <w:qFormat/>
    <w:uiPriority w:val="0"/>
    <w:pPr>
      <w:ind w:left="1680" w:leftChars="800"/>
    </w:pPr>
    <w:rPr>
      <w:rFonts w:ascii="Times New Roman" w:hAnsi="Times New Roman"/>
    </w:rPr>
  </w:style>
  <w:style w:type="paragraph" w:styleId="5">
    <w:name w:val="Date"/>
    <w:basedOn w:val="1"/>
    <w:next w:val="1"/>
    <w:link w:val="16"/>
    <w:semiHidden/>
    <w:unhideWhenUsed/>
    <w:qFormat/>
    <w:uiPriority w:val="99"/>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styleId="13">
    <w:name w:val="FollowedHyperlink"/>
    <w:basedOn w:val="11"/>
    <w:semiHidden/>
    <w:unhideWhenUsed/>
    <w:qFormat/>
    <w:uiPriority w:val="99"/>
    <w:rPr>
      <w:color w:val="800080"/>
      <w:u w:val="none"/>
    </w:rPr>
  </w:style>
  <w:style w:type="character" w:styleId="14">
    <w:name w:val="Hyperlink"/>
    <w:basedOn w:val="11"/>
    <w:semiHidden/>
    <w:unhideWhenUsed/>
    <w:qFormat/>
    <w:uiPriority w:val="99"/>
    <w:rPr>
      <w:color w:val="0000FF"/>
      <w:u w:val="none"/>
    </w:rPr>
  </w:style>
  <w:style w:type="paragraph" w:customStyle="1" w:styleId="15">
    <w:name w:val="TOC1"/>
    <w:basedOn w:val="1"/>
    <w:next w:val="1"/>
    <w:qFormat/>
    <w:uiPriority w:val="0"/>
    <w:pPr>
      <w:spacing w:line="660" w:lineRule="exact"/>
      <w:ind w:firstLine="705"/>
      <w:textAlignment w:val="baseline"/>
    </w:pPr>
    <w:rPr>
      <w:rFonts w:ascii="仿宋" w:hAnsi="仿宋" w:eastAsia="仿宋" w:cs="宋体"/>
      <w:color w:val="000000"/>
      <w:sz w:val="32"/>
      <w:szCs w:val="32"/>
    </w:rPr>
  </w:style>
  <w:style w:type="character" w:customStyle="1" w:styleId="16">
    <w:name w:val="日期 Char"/>
    <w:basedOn w:val="11"/>
    <w:link w:val="5"/>
    <w:semiHidden/>
    <w:qFormat/>
    <w:uiPriority w:val="99"/>
  </w:style>
  <w:style w:type="paragraph" w:customStyle="1" w:styleId="17">
    <w:name w:val="章标题"/>
    <w:basedOn w:val="1"/>
    <w:next w:val="1"/>
    <w:qFormat/>
    <w:uiPriority w:val="0"/>
    <w:pPr>
      <w:widowControl/>
      <w:spacing w:before="158" w:after="153" w:line="646" w:lineRule="atLeast"/>
      <w:jc w:val="center"/>
      <w:textAlignment w:val="baseline"/>
    </w:pPr>
    <w:rPr>
      <w:rFonts w:ascii="Arial" w:eastAsia="黑体"/>
      <w:color w:val="000000"/>
      <w:kern w:val="0"/>
      <w:sz w:val="31"/>
      <w:u w:color="000000"/>
    </w:rPr>
  </w:style>
  <w:style w:type="character" w:customStyle="1" w:styleId="18">
    <w:name w:val="页眉 Char"/>
    <w:basedOn w:val="11"/>
    <w:link w:val="7"/>
    <w:qFormat/>
    <w:uiPriority w:val="99"/>
    <w:rPr>
      <w:rFonts w:asciiTheme="minorHAnsi" w:hAnsiTheme="minorHAnsi" w:eastAsiaTheme="minorEastAsia" w:cstheme="minorBidi"/>
      <w:kern w:val="2"/>
      <w:sz w:val="18"/>
      <w:szCs w:val="18"/>
    </w:rPr>
  </w:style>
  <w:style w:type="paragraph" w:customStyle="1" w:styleId="19">
    <w:name w:val="BodyText"/>
    <w:basedOn w:val="1"/>
    <w:qFormat/>
    <w:uiPriority w:val="0"/>
    <w:pPr>
      <w:textAlignment w:val="baseline"/>
    </w:pPr>
    <w:rPr>
      <w:rFonts w:ascii="Calibri" w:hAnsi="Calibri"/>
      <w:szCs w:val="24"/>
    </w:rPr>
  </w:style>
  <w:style w:type="character" w:customStyle="1" w:styleId="20">
    <w:name w:val="font31"/>
    <w:basedOn w:val="11"/>
    <w:qFormat/>
    <w:uiPriority w:val="0"/>
    <w:rPr>
      <w:rFonts w:hint="eastAsia" w:ascii="仿宋" w:hAnsi="仿宋" w:eastAsia="仿宋" w:cs="仿宋"/>
      <w:color w:val="000000"/>
      <w:sz w:val="36"/>
      <w:szCs w:val="36"/>
      <w:u w:val="none"/>
    </w:rPr>
  </w:style>
  <w:style w:type="character" w:customStyle="1" w:styleId="21">
    <w:name w:val="font61"/>
    <w:basedOn w:val="11"/>
    <w:qFormat/>
    <w:uiPriority w:val="0"/>
    <w:rPr>
      <w:rFonts w:hint="default" w:ascii="Times New Roman" w:hAnsi="Times New Roman" w:cs="Times New Roman"/>
      <w:color w:val="000000"/>
      <w:sz w:val="24"/>
      <w:szCs w:val="24"/>
      <w:u w:val="none"/>
    </w:rPr>
  </w:style>
  <w:style w:type="character" w:customStyle="1" w:styleId="22">
    <w:name w:val="font51"/>
    <w:basedOn w:val="1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3050</Words>
  <Characters>3212</Characters>
  <Lines>9</Lines>
  <Paragraphs>2</Paragraphs>
  <TotalTime>2</TotalTime>
  <ScaleCrop>false</ScaleCrop>
  <LinksUpToDate>false</LinksUpToDate>
  <CharactersWithSpaces>3227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2019-08-03T20:12:00Z</dcterms:created>
  <dc:creator>admin</dc:creator>
  <cp:lastModifiedBy>user</cp:lastModifiedBy>
  <cp:lastPrinted>2026-01-15T17:12:00Z</cp:lastPrinted>
  <dcterms:modified xsi:type="dcterms:W3CDTF">2026-01-15T15:18:06Z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724B7041402A2B19AE6B6469D3328FDA_43</vt:lpwstr>
  </property>
  <property fmtid="{D5CDD505-2E9C-101B-9397-08002B2CF9AE}" pid="4" name="KSOTemplateDocerSaveRecord">
    <vt:lpwstr>eyJoZGlkIjoiOGEzZjFkODA0MDg1ZGVlYmIwYTkwOTMxZTk2NTU0MzciLCJ1c2VySWQiOiIxNDE2ODUyMzcwIn0=</vt:lpwstr>
  </property>
</Properties>
</file>