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jc w:val="both"/>
        <w:textAlignment w:val="auto"/>
        <w:rPr>
          <w:rFonts w:hint="eastAsia" w:eastAsiaTheme="minorEastAsia"/>
          <w:highlight w:val="none"/>
          <w:lang w:eastAsia="zh-CN"/>
        </w:rPr>
      </w:pPr>
    </w:p>
    <w:p>
      <w:pPr>
        <w:keepNext w:val="0"/>
        <w:keepLines w:val="0"/>
        <w:pageBreakBefore w:val="0"/>
        <w:widowControl w:val="0"/>
        <w:kinsoku/>
        <w:overflowPunct/>
        <w:topLinePunct w:val="0"/>
        <w:autoSpaceDE/>
        <w:autoSpaceDN/>
        <w:bidi w:val="0"/>
        <w:adjustRightInd/>
        <w:snapToGrid/>
        <w:spacing w:beforeAutospacing="0"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薛城区</w:t>
      </w:r>
      <w:r>
        <w:rPr>
          <w:rFonts w:hint="eastAsia" w:ascii="方正小标宋简体" w:hAnsi="方正小标宋简体" w:eastAsia="方正小标宋简体" w:cs="方正小标宋简体"/>
          <w:sz w:val="44"/>
          <w:szCs w:val="44"/>
          <w:highlight w:val="none"/>
          <w:lang w:val="en-US" w:eastAsia="zh-CN"/>
        </w:rPr>
        <w:t>国有资产监督管理局</w:t>
      </w:r>
    </w:p>
    <w:p>
      <w:pPr>
        <w:keepNext w:val="0"/>
        <w:keepLines w:val="0"/>
        <w:pageBreakBefore w:val="0"/>
        <w:widowControl w:val="0"/>
        <w:kinsoku/>
        <w:overflowPunct/>
        <w:topLinePunct w:val="0"/>
        <w:autoSpaceDE/>
        <w:autoSpaceDN/>
        <w:bidi w:val="0"/>
        <w:adjustRightInd/>
        <w:snapToGrid/>
        <w:spacing w:beforeAutospacing="0"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年度政府信息公开工作年度报告</w:t>
      </w:r>
    </w:p>
    <w:p>
      <w:pPr>
        <w:keepNext w:val="0"/>
        <w:keepLines w:val="0"/>
        <w:pageBreakBefore w:val="0"/>
        <w:widowControl w:val="0"/>
        <w:kinsoku/>
        <w:overflowPunct/>
        <w:topLinePunct w:val="0"/>
        <w:autoSpaceDE/>
        <w:autoSpaceDN/>
        <w:bidi w:val="0"/>
        <w:adjustRightInd/>
        <w:snapToGrid/>
        <w:spacing w:beforeAutospacing="0" w:line="600" w:lineRule="exact"/>
        <w:jc w:val="both"/>
        <w:textAlignment w:val="auto"/>
        <w:rPr>
          <w:highlight w:val="none"/>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Style w:val="9"/>
          <w:rFonts w:hint="default" w:ascii="Times New Roman" w:hAnsi="Times New Roman" w:eastAsia="仿宋_GB2312" w:cs="Times New Roman"/>
          <w:i w:val="0"/>
          <w:iCs w:val="0"/>
          <w:caps w:val="0"/>
          <w:color w:val="000000"/>
          <w:spacing w:val="0"/>
          <w:sz w:val="32"/>
          <w:szCs w:val="32"/>
          <w:shd w:val="clear" w:fill="FFFFFF"/>
        </w:rPr>
      </w:pPr>
      <w:r>
        <w:rPr>
          <w:rStyle w:val="9"/>
          <w:rFonts w:hint="default" w:ascii="Times New Roman" w:hAnsi="Times New Roman" w:eastAsia="仿宋_GB2312" w:cs="Times New Roman"/>
          <w:i w:val="0"/>
          <w:iCs w:val="0"/>
          <w:caps w:val="0"/>
          <w:color w:val="000000"/>
          <w:spacing w:val="0"/>
          <w:sz w:val="32"/>
          <w:szCs w:val="32"/>
          <w:shd w:val="clear" w:fill="FFFFFF"/>
        </w:rPr>
        <w:t>根据</w:t>
      </w:r>
      <w:r>
        <w:rPr>
          <w:rFonts w:hint="default" w:ascii="Times New Roman" w:hAnsi="Times New Roman" w:eastAsia="仿宋_GB2312" w:cs="Times New Roman"/>
          <w:i w:val="0"/>
          <w:iCs w:val="0"/>
          <w:caps w:val="0"/>
          <w:color w:val="000000"/>
          <w:spacing w:val="0"/>
          <w:sz w:val="32"/>
          <w:szCs w:val="32"/>
          <w:highlight w:val="none"/>
          <w:shd w:val="clear" w:fill="FFFFFF"/>
        </w:rPr>
        <w:t>《中华人民共和国政府信息公开条例》（以下简称《条例》）和《国务院办公厅政府信息与政务公开办公室关于印发＜中华人民共和国政府信息公开工作年度报告格式＞的通知》（国办公开办函〔2021〕30号）</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等</w:t>
      </w:r>
      <w:r>
        <w:rPr>
          <w:rFonts w:hint="default" w:ascii="Times New Roman" w:hAnsi="Times New Roman" w:eastAsia="仿宋_GB2312" w:cs="Times New Roman"/>
          <w:i w:val="0"/>
          <w:iCs w:val="0"/>
          <w:caps w:val="0"/>
          <w:color w:val="000000"/>
          <w:spacing w:val="0"/>
          <w:sz w:val="32"/>
          <w:szCs w:val="32"/>
          <w:highlight w:val="none"/>
          <w:shd w:val="clear" w:fill="FFFFFF"/>
        </w:rPr>
        <w:t>有关要求，</w:t>
      </w:r>
      <w:r>
        <w:rPr>
          <w:rStyle w:val="9"/>
          <w:rFonts w:hint="default" w:ascii="Times New Roman" w:hAnsi="Times New Roman" w:eastAsia="仿宋_GB2312" w:cs="Times New Roman"/>
          <w:i w:val="0"/>
          <w:iCs w:val="0"/>
          <w:caps w:val="0"/>
          <w:color w:val="000000"/>
          <w:spacing w:val="0"/>
          <w:sz w:val="32"/>
          <w:szCs w:val="32"/>
          <w:shd w:val="clear" w:fill="FFFFFF"/>
        </w:rPr>
        <w:t>现公布</w:t>
      </w:r>
      <w:r>
        <w:rPr>
          <w:rStyle w:val="9"/>
          <w:rFonts w:hint="default" w:ascii="Times New Roman" w:hAnsi="Times New Roman" w:eastAsia="仿宋_GB2312" w:cs="Times New Roman"/>
          <w:i w:val="0"/>
          <w:iCs w:val="0"/>
          <w:caps w:val="0"/>
          <w:color w:val="000000"/>
          <w:spacing w:val="0"/>
          <w:sz w:val="32"/>
          <w:szCs w:val="32"/>
          <w:shd w:val="clear" w:fill="FFFFFF"/>
          <w:lang w:val="en-US" w:eastAsia="zh-CN"/>
        </w:rPr>
        <w:t>薛城</w:t>
      </w:r>
      <w:r>
        <w:rPr>
          <w:rStyle w:val="9"/>
          <w:rFonts w:hint="default" w:ascii="Times New Roman" w:hAnsi="Times New Roman" w:eastAsia="仿宋_GB2312" w:cs="Times New Roman"/>
          <w:i w:val="0"/>
          <w:iCs w:val="0"/>
          <w:caps w:val="0"/>
          <w:color w:val="000000"/>
          <w:spacing w:val="0"/>
          <w:sz w:val="32"/>
          <w:szCs w:val="32"/>
          <w:shd w:val="clear" w:fill="FFFFFF"/>
        </w:rPr>
        <w:t>区</w:t>
      </w:r>
      <w:r>
        <w:rPr>
          <w:rStyle w:val="9"/>
          <w:rFonts w:hint="eastAsia" w:ascii="Times New Roman" w:hAnsi="Times New Roman" w:eastAsia="仿宋_GB2312" w:cs="Times New Roman"/>
          <w:i w:val="0"/>
          <w:iCs w:val="0"/>
          <w:caps w:val="0"/>
          <w:color w:val="000000"/>
          <w:spacing w:val="0"/>
          <w:sz w:val="32"/>
          <w:szCs w:val="32"/>
          <w:shd w:val="clear" w:fill="FFFFFF"/>
          <w:lang w:val="en-US" w:eastAsia="zh-CN"/>
        </w:rPr>
        <w:t>国资</w:t>
      </w:r>
      <w:r>
        <w:rPr>
          <w:rStyle w:val="9"/>
          <w:rFonts w:hint="default" w:ascii="Times New Roman" w:hAnsi="Times New Roman" w:eastAsia="仿宋_GB2312" w:cs="Times New Roman"/>
          <w:i w:val="0"/>
          <w:iCs w:val="0"/>
          <w:caps w:val="0"/>
          <w:color w:val="000000"/>
          <w:spacing w:val="0"/>
          <w:sz w:val="32"/>
          <w:szCs w:val="32"/>
          <w:shd w:val="clear" w:fill="FFFFFF"/>
          <w:lang w:val="en-US" w:eastAsia="zh-CN"/>
        </w:rPr>
        <w:t>局</w:t>
      </w:r>
      <w:r>
        <w:rPr>
          <w:rStyle w:val="9"/>
          <w:rFonts w:hint="default" w:ascii="Times New Roman" w:hAnsi="Times New Roman" w:eastAsia="仿宋_GB2312" w:cs="Times New Roman"/>
          <w:i w:val="0"/>
          <w:iCs w:val="0"/>
          <w:caps w:val="0"/>
          <w:color w:val="000000"/>
          <w:spacing w:val="0"/>
          <w:sz w:val="32"/>
          <w:szCs w:val="32"/>
          <w:shd w:val="clear" w:fill="FFFFFF"/>
        </w:rPr>
        <w:t>202</w:t>
      </w:r>
      <w:r>
        <w:rPr>
          <w:rStyle w:val="9"/>
          <w:rFonts w:hint="default" w:ascii="Times New Roman" w:hAnsi="Times New Roman" w:eastAsia="仿宋_GB2312" w:cs="Times New Roman"/>
          <w:i w:val="0"/>
          <w:iCs w:val="0"/>
          <w:caps w:val="0"/>
          <w:color w:val="000000"/>
          <w:spacing w:val="0"/>
          <w:sz w:val="32"/>
          <w:szCs w:val="32"/>
          <w:shd w:val="clear" w:fill="FFFFFF"/>
          <w:lang w:val="en-US" w:eastAsia="zh-CN"/>
        </w:rPr>
        <w:t>5</w:t>
      </w:r>
      <w:r>
        <w:rPr>
          <w:rStyle w:val="9"/>
          <w:rFonts w:hint="default" w:ascii="Times New Roman" w:hAnsi="Times New Roman" w:eastAsia="仿宋_GB2312" w:cs="Times New Roman"/>
          <w:i w:val="0"/>
          <w:iCs w:val="0"/>
          <w:caps w:val="0"/>
          <w:color w:val="000000"/>
          <w:spacing w:val="0"/>
          <w:sz w:val="32"/>
          <w:szCs w:val="32"/>
          <w:shd w:val="clear" w:fill="FFFFFF"/>
        </w:rPr>
        <w:t>年</w:t>
      </w:r>
      <w:r>
        <w:rPr>
          <w:rStyle w:val="9"/>
          <w:rFonts w:hint="default" w:ascii="Times New Roman" w:hAnsi="Times New Roman" w:eastAsia="仿宋_GB2312" w:cs="Times New Roman"/>
          <w:i w:val="0"/>
          <w:iCs w:val="0"/>
          <w:caps w:val="0"/>
          <w:color w:val="000000"/>
          <w:spacing w:val="0"/>
          <w:sz w:val="32"/>
          <w:szCs w:val="32"/>
          <w:shd w:val="clear" w:fill="FFFFFF"/>
          <w:lang w:val="en-US" w:eastAsia="zh-CN"/>
        </w:rPr>
        <w:t>度</w:t>
      </w:r>
      <w:r>
        <w:rPr>
          <w:rStyle w:val="9"/>
          <w:rFonts w:hint="default" w:ascii="Times New Roman" w:hAnsi="Times New Roman" w:eastAsia="仿宋_GB2312" w:cs="Times New Roman"/>
          <w:i w:val="0"/>
          <w:iCs w:val="0"/>
          <w:caps w:val="0"/>
          <w:color w:val="000000"/>
          <w:spacing w:val="0"/>
          <w:sz w:val="32"/>
          <w:szCs w:val="32"/>
          <w:shd w:val="clear" w:fill="FFFFFF"/>
        </w:rPr>
        <w:t>政府信息公开工作年度报告。</w:t>
      </w:r>
      <w:r>
        <w:rPr>
          <w:rFonts w:hint="default" w:ascii="Times New Roman" w:hAnsi="Times New Roman" w:eastAsia="仿宋_GB2312" w:cs="Times New Roman"/>
          <w:i w:val="0"/>
          <w:iCs w:val="0"/>
          <w:caps w:val="0"/>
          <w:color w:val="000000"/>
          <w:spacing w:val="0"/>
          <w:sz w:val="32"/>
          <w:szCs w:val="32"/>
          <w:highlight w:val="none"/>
          <w:shd w:val="clear" w:fill="FFFFFF"/>
        </w:rPr>
        <w:t>本年度报告中所列数据的统计期限自202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000000"/>
          <w:spacing w:val="0"/>
          <w:sz w:val="32"/>
          <w:szCs w:val="32"/>
          <w:highlight w:val="none"/>
          <w:shd w:val="clear" w:fill="FFFFFF"/>
        </w:rPr>
        <w:t>年1月1日起至202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000000"/>
          <w:spacing w:val="0"/>
          <w:sz w:val="32"/>
          <w:szCs w:val="32"/>
          <w:highlight w:val="none"/>
          <w:shd w:val="clear" w:fill="FFFFFF"/>
        </w:rPr>
        <w:t>年12月31日止。本年度报告电子版可以在</w:t>
      </w:r>
      <w:r>
        <w:rPr>
          <w:rFonts w:hint="default" w:ascii="Times New Roman" w:hAnsi="Times New Roman" w:eastAsia="仿宋_GB2312" w:cs="Times New Roman"/>
          <w:i w:val="0"/>
          <w:iCs w:val="0"/>
          <w:caps w:val="0"/>
          <w:color w:val="auto"/>
          <w:spacing w:val="0"/>
          <w:sz w:val="32"/>
          <w:szCs w:val="32"/>
          <w:highlight w:val="none"/>
          <w:shd w:val="clear" w:fill="FFFFFF"/>
        </w:rPr>
        <w:t>“薛城区政府门户网站”</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bookmarkStart w:id="0" w:name="_GoBack"/>
      <w:bookmarkEnd w:id="0"/>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h</w:t>
      </w:r>
      <w:r>
        <w:rPr>
          <w:rFonts w:hint="default" w:ascii="Times New Roman" w:hAnsi="Times New Roman" w:eastAsia="仿宋_GB2312" w:cs="Times New Roman"/>
          <w:i w:val="0"/>
          <w:iCs w:val="0"/>
          <w:caps w:val="0"/>
          <w:color w:val="auto"/>
          <w:spacing w:val="-20"/>
          <w:sz w:val="32"/>
          <w:szCs w:val="32"/>
          <w:highlight w:val="none"/>
          <w:shd w:val="clear" w:fill="FFFFFF"/>
        </w:rPr>
        <w:t>ttp://www.xuecheng.gov.cn/zwgk/xxgknb/202</w:t>
      </w:r>
      <w:r>
        <w:rPr>
          <w:rFonts w:hint="eastAsia" w:ascii="Times New Roman" w:hAnsi="Times New Roman" w:eastAsia="仿宋_GB2312" w:cs="Times New Roman"/>
          <w:i w:val="0"/>
          <w:iCs w:val="0"/>
          <w:caps w:val="0"/>
          <w:color w:val="auto"/>
          <w:spacing w:val="-20"/>
          <w:sz w:val="32"/>
          <w:szCs w:val="32"/>
          <w:highlight w:val="none"/>
          <w:shd w:val="clear" w:fill="FFFFFF"/>
          <w:lang w:val="en-US" w:eastAsia="zh-CN"/>
        </w:rPr>
        <w:t>5</w:t>
      </w:r>
      <w:r>
        <w:rPr>
          <w:rFonts w:hint="default" w:ascii="Times New Roman" w:hAnsi="Times New Roman" w:eastAsia="仿宋_GB2312" w:cs="Times New Roman"/>
          <w:i w:val="0"/>
          <w:iCs w:val="0"/>
          <w:caps w:val="0"/>
          <w:color w:val="auto"/>
          <w:spacing w:val="-20"/>
          <w:sz w:val="32"/>
          <w:szCs w:val="32"/>
          <w:highlight w:val="none"/>
          <w:shd w:val="clear" w:fill="FFFFFF"/>
        </w:rPr>
        <w:t>xxgknb/）</w:t>
      </w:r>
      <w:r>
        <w:rPr>
          <w:rFonts w:hint="default" w:ascii="Times New Roman" w:hAnsi="Times New Roman" w:eastAsia="仿宋_GB2312" w:cs="Times New Roman"/>
          <w:i w:val="0"/>
          <w:iCs w:val="0"/>
          <w:caps w:val="0"/>
          <w:color w:val="000000"/>
          <w:spacing w:val="0"/>
          <w:sz w:val="32"/>
          <w:szCs w:val="32"/>
          <w:highlight w:val="none"/>
          <w:shd w:val="clear" w:fill="FFFFFF"/>
        </w:rPr>
        <w:t>下载。如对本报告有疑问，可与薛城区</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国有资产监督管理局</w:t>
      </w:r>
      <w:r>
        <w:rPr>
          <w:rFonts w:hint="default" w:ascii="Times New Roman" w:hAnsi="Times New Roman" w:eastAsia="仿宋_GB2312" w:cs="Times New Roman"/>
          <w:i w:val="0"/>
          <w:iCs w:val="0"/>
          <w:caps w:val="0"/>
          <w:color w:val="000000"/>
          <w:spacing w:val="0"/>
          <w:sz w:val="32"/>
          <w:szCs w:val="32"/>
          <w:highlight w:val="none"/>
          <w:shd w:val="clear" w:fill="FFFFFF"/>
        </w:rPr>
        <w:t>联系（地址：薛城区</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中和路薛城区财税综合服务中心4楼C区</w:t>
      </w:r>
      <w:r>
        <w:rPr>
          <w:rFonts w:hint="default" w:ascii="Times New Roman" w:hAnsi="Times New Roman" w:eastAsia="仿宋_GB2312" w:cs="Times New Roman"/>
          <w:i w:val="0"/>
          <w:iCs w:val="0"/>
          <w:caps w:val="0"/>
          <w:color w:val="000000"/>
          <w:spacing w:val="0"/>
          <w:sz w:val="32"/>
          <w:szCs w:val="32"/>
          <w:highlight w:val="none"/>
          <w:shd w:val="clear" w:fill="FFFFFF"/>
        </w:rPr>
        <w:t>，邮政编码：277000；电话：0632—</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4424589</w:t>
      </w:r>
      <w:r>
        <w:rPr>
          <w:rFonts w:hint="default" w:ascii="Times New Roman" w:hAnsi="Times New Roman" w:eastAsia="仿宋_GB2312" w:cs="Times New Roman"/>
          <w:i w:val="0"/>
          <w:iCs w:val="0"/>
          <w:caps w:val="0"/>
          <w:color w:val="000000"/>
          <w:spacing w:val="0"/>
          <w:sz w:val="32"/>
          <w:szCs w:val="32"/>
          <w:highlight w:val="none"/>
          <w:shd w:val="clear" w:fill="FFFFFF"/>
        </w:rPr>
        <w:t>；电子邮箱：</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xcgz4424589</w:t>
      </w:r>
      <w:r>
        <w:rPr>
          <w:rFonts w:hint="default" w:ascii="Times New Roman" w:hAnsi="Times New Roman" w:eastAsia="仿宋_GB2312" w:cs="Times New Roman"/>
          <w:i w:val="0"/>
          <w:iCs w:val="0"/>
          <w:caps w:val="0"/>
          <w:color w:val="000000"/>
          <w:spacing w:val="0"/>
          <w:sz w:val="32"/>
          <w:szCs w:val="32"/>
          <w:highlight w:val="none"/>
          <w:shd w:val="clear" w:fill="FFFFFF"/>
        </w:rPr>
        <w:t>@zz.shandong.cn）。</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highlight w:val="none"/>
          <w:shd w:val="clear" w:fill="FFFFFF"/>
          <w:lang w:val="en-US" w:eastAsia="zh-CN" w:bidi="ar"/>
        </w:rPr>
        <w:t>一、总体情况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2025年，薛城区国资局坚持以习近平新时代中国特色社会主义思想为指导，认真贯彻落实</w:t>
      </w:r>
      <w:r>
        <w:rPr>
          <w:rFonts w:hint="default" w:ascii="Times New Roman" w:hAnsi="Times New Roman" w:eastAsia="仿宋_GB2312" w:cs="Times New Roman"/>
          <w:i w:val="0"/>
          <w:iCs w:val="0"/>
          <w:caps w:val="0"/>
          <w:color w:val="auto"/>
          <w:spacing w:val="0"/>
          <w:sz w:val="32"/>
          <w:szCs w:val="32"/>
          <w:highlight w:val="none"/>
          <w:shd w:val="clear" w:fill="FFFFFF"/>
        </w:rPr>
        <w:t>政府信息公开条例</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，严格按照区委、区政府关于全面推进政务公开工作的有关要求，聚焦国资监管、国企改革发展等重点工作，加大公开力度,着力提高政府信息公开</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工作</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质效，为全区国资国企高质量发展营造了透明规范的政务环境。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i w:val="0"/>
          <w:iCs w:val="0"/>
          <w:caps w:val="0"/>
          <w:color w:val="auto"/>
          <w:spacing w:val="0"/>
          <w:sz w:val="32"/>
          <w:szCs w:val="32"/>
          <w:highlight w:val="none"/>
          <w:shd w:val="clear" w:fill="FFFFFF"/>
        </w:rPr>
      </w:pPr>
      <w:r>
        <w:rPr>
          <w:rFonts w:hint="default"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一</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rPr>
        <w:t>主动公开情况</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2025年，我局对照</w:t>
      </w:r>
      <w:r>
        <w:rPr>
          <w:rFonts w:hint="default" w:ascii="Times New Roman" w:hAnsi="Times New Roman" w:eastAsia="仿宋_GB2312" w:cs="Times New Roman"/>
          <w:i w:val="0"/>
          <w:iCs w:val="0"/>
          <w:caps w:val="0"/>
          <w:color w:val="auto"/>
          <w:spacing w:val="0"/>
          <w:sz w:val="32"/>
          <w:szCs w:val="32"/>
          <w:highlight w:val="none"/>
          <w:shd w:val="clear" w:fill="FFFFFF"/>
        </w:rPr>
        <w:t>《条例》</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有关规定和</w:t>
      </w:r>
      <w:r>
        <w:rPr>
          <w:rFonts w:hint="default" w:ascii="Times New Roman" w:hAnsi="Times New Roman" w:eastAsia="仿宋_GB2312" w:cs="Times New Roman"/>
          <w:i w:val="0"/>
          <w:iCs w:val="0"/>
          <w:caps w:val="0"/>
          <w:color w:val="auto"/>
          <w:spacing w:val="0"/>
          <w:sz w:val="32"/>
          <w:szCs w:val="32"/>
          <w:highlight w:val="none"/>
          <w:shd w:val="clear" w:fill="FFFFFF"/>
        </w:rPr>
        <w:t>上级要求，进一步细化完善了本部门政府信息公开基本目录</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按照目录依法依规、及时准确做好公开工作，全年</w:t>
      </w:r>
      <w:r>
        <w:rPr>
          <w:rFonts w:hint="default" w:ascii="Times New Roman" w:hAnsi="Times New Roman" w:eastAsia="仿宋_GB2312" w:cs="Times New Roman"/>
          <w:i w:val="0"/>
          <w:iCs w:val="0"/>
          <w:caps w:val="0"/>
          <w:color w:val="auto"/>
          <w:spacing w:val="0"/>
          <w:sz w:val="32"/>
          <w:szCs w:val="32"/>
          <w:highlight w:val="none"/>
          <w:shd w:val="clear" w:fill="FFFFFF"/>
        </w:rPr>
        <w:t>通过薛城区政府信息公开门户网站累计发布</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政府信息</w:t>
      </w:r>
      <w:r>
        <w:rPr>
          <w:rFonts w:hint="default" w:ascii="Times New Roman" w:hAnsi="Times New Roman" w:eastAsia="仿宋_GB2312" w:cs="Times New Roman"/>
          <w:i w:val="0"/>
          <w:iCs w:val="0"/>
          <w:caps w:val="0"/>
          <w:color w:val="auto"/>
          <w:spacing w:val="0"/>
          <w:sz w:val="32"/>
          <w:szCs w:val="32"/>
          <w:highlight w:val="none"/>
          <w:shd w:val="clear" w:fill="FFFFFF"/>
        </w:rPr>
        <w:t>共</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6</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条</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,其中：</w:t>
      </w:r>
      <w:r>
        <w:rPr>
          <w:rFonts w:hint="default" w:ascii="Times New Roman" w:hAnsi="Times New Roman" w:eastAsia="仿宋_GB2312" w:cs="Times New Roman"/>
          <w:color w:val="auto"/>
          <w:sz w:val="32"/>
          <w:szCs w:val="32"/>
          <w:highlight w:val="none"/>
          <w:lang w:val="en-US" w:eastAsia="zh-CN"/>
        </w:rPr>
        <w:t>国企监管</w:t>
      </w:r>
      <w:r>
        <w:rPr>
          <w:rFonts w:hint="default" w:ascii="Times New Roman" w:hAnsi="Times New Roman" w:eastAsia="仿宋_GB2312" w:cs="Times New Roman"/>
          <w:color w:val="auto"/>
          <w:sz w:val="32"/>
          <w:szCs w:val="32"/>
          <w:highlight w:val="none"/>
          <w:lang w:eastAsia="zh-CN"/>
        </w:rPr>
        <w:t>信息公开</w:t>
      </w:r>
      <w:r>
        <w:rPr>
          <w:rFonts w:hint="default" w:ascii="Times New Roman" w:hAnsi="Times New Roman" w:eastAsia="仿宋_GB2312" w:cs="Times New Roman"/>
          <w:color w:val="auto"/>
          <w:sz w:val="32"/>
          <w:szCs w:val="32"/>
          <w:highlight w:val="none"/>
          <w:lang w:val="en-US" w:eastAsia="zh-CN"/>
        </w:rPr>
        <w:t>40条，重点工作信息5条，</w:t>
      </w:r>
      <w:r>
        <w:rPr>
          <w:rFonts w:hint="default" w:ascii="Times New Roman" w:hAnsi="Times New Roman" w:eastAsia="仿宋_GB2312" w:cs="Times New Roman"/>
          <w:i w:val="0"/>
          <w:iCs w:val="0"/>
          <w:caps w:val="0"/>
          <w:color w:val="auto"/>
          <w:spacing w:val="0"/>
          <w:sz w:val="32"/>
          <w:szCs w:val="32"/>
          <w:highlight w:val="none"/>
          <w:shd w:val="clear" w:fill="FFFFFF"/>
        </w:rPr>
        <w:t>机构职能信息</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条</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color w:val="auto"/>
          <w:sz w:val="32"/>
          <w:szCs w:val="32"/>
          <w:highlight w:val="none"/>
          <w:lang w:val="en-US" w:eastAsia="zh-CN"/>
        </w:rPr>
        <w:t>其他政务信息</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sans-serif" w:cs="Times New Roman"/>
          <w:i w:val="0"/>
          <w:iCs w:val="0"/>
          <w:caps w:val="0"/>
          <w:color w:val="auto"/>
          <w:spacing w:val="0"/>
          <w:sz w:val="32"/>
          <w:szCs w:val="32"/>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w:t>
      </w: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二</w:t>
      </w:r>
      <w:r>
        <w:rPr>
          <w:rFonts w:hint="default" w:ascii="Times New Roman" w:hAnsi="Times New Roman" w:eastAsia="楷体_GB2312" w:cs="Times New Roman"/>
          <w:i w:val="0"/>
          <w:iCs w:val="0"/>
          <w:caps w:val="0"/>
          <w:color w:val="auto"/>
          <w:spacing w:val="0"/>
          <w:sz w:val="32"/>
          <w:szCs w:val="32"/>
          <w:highlight w:val="none"/>
          <w:shd w:val="clear" w:fill="FFFFFF"/>
        </w:rPr>
        <w:t>）依申请公开情况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区国资局严格执行依申请公开程序，始终保持畅通依申请公开渠道，2025年度共受理政府信息依申请公开1件，行政复议0件，不存在行政诉讼的情况。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sans-serif" w:cs="Times New Roman"/>
          <w:i w:val="0"/>
          <w:iCs w:val="0"/>
          <w:caps w:val="0"/>
          <w:color w:val="auto"/>
          <w:spacing w:val="0"/>
          <w:sz w:val="32"/>
          <w:szCs w:val="32"/>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w:t>
      </w: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三</w:t>
      </w:r>
      <w:r>
        <w:rPr>
          <w:rFonts w:hint="default" w:ascii="Times New Roman" w:hAnsi="Times New Roman" w:eastAsia="楷体_GB2312" w:cs="Times New Roman"/>
          <w:i w:val="0"/>
          <w:iCs w:val="0"/>
          <w:caps w:val="0"/>
          <w:color w:val="auto"/>
          <w:spacing w:val="0"/>
          <w:sz w:val="32"/>
          <w:szCs w:val="32"/>
          <w:highlight w:val="none"/>
          <w:shd w:val="clear" w:fill="FFFFFF"/>
        </w:rPr>
        <w:t>）政府信息公开管理情况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常态化维护公开专栏，对政务平台系统国资各模块及发布的信息进行日常巡查、维护，持续优化平台相关模块的构建，杜绝错链、断链和内容混杂等现象，极大提升了公开的质效，切实保障公众获取信息渠道的安全稳定；持续完善公开机制，建立主要领导负总责、分管领导直接抓、业务科室具体承办、办公室专人负责经办的工作机制，认真落实公开“三审三校”制度，完善“三务公开”相关制度，确保各项公开工作有制可循。</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（四）政府信息公开平台建设</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全面推进政务公开标准化规范化建设，及时、全面、高效公开有关国资国企领域重点信息。通过政府网站、区融媒体及市国资委网站等载体，搭建传递我区国有企业信息公开平台；</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按照我区政府网站建设指引和要求，及时、</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准确</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、规范平台网站栏目设置，优化信息分类，进一步加强了我局政府信息公开的规范化、标准化，</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传播力、公信力和影响力持续提升。</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i w:val="0"/>
          <w:iCs w:val="0"/>
          <w:caps w:val="0"/>
          <w:color w:val="auto"/>
          <w:spacing w:val="0"/>
          <w:sz w:val="32"/>
          <w:szCs w:val="32"/>
          <w:highlight w:val="none"/>
          <w:shd w:val="clear" w:fill="FFFFFF"/>
          <w:lang w:val="en-US" w:eastAsia="zh-CN"/>
        </w:rPr>
        <w:t>（五）监督保障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严格落实政府信息公开工作责任制，完善政府信息公开工作领导小组建设，设置专人专岗，明确工作职责；强化政务信息公开队伍建设，定期开展政务工作专题培训，强化学习信息公开条例等有关条例文件，持续提升政务平台信息公开的保障水平。</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ind w:firstLine="640" w:firstLineChars="200"/>
        <w:textAlignment w:val="auto"/>
        <w:rPr>
          <w:rFonts w:hint="default" w:ascii="sans-serif" w:hAnsi="sans-serif" w:eastAsia="sans-serif" w:cs="sans-serif"/>
          <w:i w:val="0"/>
          <w:iCs w:val="0"/>
          <w:caps w:val="0"/>
          <w:color w:val="000000"/>
          <w:spacing w:val="0"/>
          <w:sz w:val="32"/>
          <w:szCs w:val="32"/>
          <w:highlight w:val="none"/>
        </w:rPr>
      </w:pPr>
      <w:r>
        <w:rPr>
          <w:rFonts w:hint="eastAsia" w:ascii="黑体" w:hAnsi="宋体" w:eastAsia="黑体" w:cs="黑体"/>
          <w:i w:val="0"/>
          <w:iCs w:val="0"/>
          <w:caps w:val="0"/>
          <w:color w:val="000000"/>
          <w:spacing w:val="0"/>
          <w:sz w:val="32"/>
          <w:szCs w:val="32"/>
          <w:highlight w:val="none"/>
        </w:rPr>
        <w:t>二、主动公开政府信息情况</w:t>
      </w:r>
    </w:p>
    <w:tbl>
      <w:tblPr>
        <w:tblStyle w:val="6"/>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Calibri"/>
                <w:color w:val="000000"/>
                <w:kern w:val="0"/>
                <w:szCs w:val="21"/>
                <w:highlight w:val="none"/>
                <w:lang w:val="en-US" w:eastAsia="zh-CN"/>
              </w:rPr>
            </w:pPr>
            <w:r>
              <w:rPr>
                <w:rFonts w:hint="eastAsia" w:ascii="仿宋_GB2312" w:hAnsi="Calibri" w:eastAsia="仿宋_GB2312" w:cs="Calibri"/>
                <w:color w:val="000000"/>
                <w:kern w:val="0"/>
                <w:szCs w:val="21"/>
                <w:highlight w:val="none"/>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Calibri"/>
                <w:color w:val="000000"/>
                <w:kern w:val="0"/>
                <w:szCs w:val="21"/>
                <w:highlight w:val="none"/>
                <w:lang w:val="en-US" w:eastAsia="zh-CN"/>
              </w:rPr>
            </w:pPr>
            <w:r>
              <w:rPr>
                <w:rFonts w:hint="eastAsia" w:ascii="仿宋_GB2312" w:hAnsi="Calibri" w:eastAsia="仿宋_GB2312" w:cs="Calibri"/>
                <w:color w:val="000000"/>
                <w:kern w:val="0"/>
                <w:szCs w:val="21"/>
                <w:highlight w:val="none"/>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Calibri"/>
                <w:color w:val="000000"/>
                <w:kern w:val="0"/>
                <w:szCs w:val="21"/>
                <w:highlight w:val="none"/>
                <w:lang w:val="en-US" w:eastAsia="zh-CN"/>
              </w:rPr>
            </w:pPr>
            <w:r>
              <w:rPr>
                <w:rFonts w:hint="eastAsia" w:ascii="仿宋_GB2312" w:hAnsi="Calibri" w:eastAsia="仿宋_GB2312" w:cs="Calibri"/>
                <w:color w:val="000000"/>
                <w:kern w:val="0"/>
                <w:szCs w:val="21"/>
                <w:highlight w:val="none"/>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宋体"/>
                <w:color w:val="000000"/>
                <w:kern w:val="0"/>
                <w:szCs w:val="21"/>
                <w:highlight w:val="none"/>
              </w:rPr>
            </w:pPr>
            <w:r>
              <w:rPr>
                <w:rFonts w:hint="eastAsia" w:ascii="黑体" w:hAnsi="黑体" w:eastAsia="黑体" w:cs="宋体"/>
                <w:color w:val="000000"/>
                <w:kern w:val="0"/>
                <w:szCs w:val="21"/>
                <w:highlight w:val="none"/>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Calibri"/>
                <w:color w:val="000000"/>
                <w:kern w:val="0"/>
                <w:szCs w:val="21"/>
                <w:highlight w:val="none"/>
                <w:lang w:val="en-US" w:eastAsia="zh-CN"/>
              </w:rPr>
            </w:pPr>
            <w:r>
              <w:rPr>
                <w:rFonts w:hint="eastAsia" w:ascii="仿宋_GB2312" w:hAnsi="Calibri" w:eastAsia="仿宋_GB2312" w:cs="Calibri"/>
                <w:color w:val="000000"/>
                <w:kern w:val="0"/>
                <w:szCs w:val="21"/>
                <w:highlight w:val="none"/>
                <w:lang w:val="en-US" w:eastAsia="zh-CN"/>
              </w:rPr>
              <w:t>0</w:t>
            </w:r>
          </w:p>
        </w:tc>
      </w:tr>
    </w:tbl>
    <w:p>
      <w:pPr>
        <w:pStyle w:val="5"/>
        <w:keepNext w:val="0"/>
        <w:keepLines w:val="0"/>
        <w:pageBreakBefore w:val="0"/>
        <w:widowControl w:val="0"/>
        <w:suppressLineNumbers w:val="0"/>
        <w:kinsoku/>
        <w:overflowPunct/>
        <w:topLinePunct w:val="0"/>
        <w:autoSpaceDE/>
        <w:autoSpaceDN/>
        <w:bidi w:val="0"/>
        <w:adjustRightInd/>
        <w:snapToGrid/>
        <w:spacing w:beforeAutospacing="0" w:after="150" w:afterAutospacing="0" w:line="600" w:lineRule="exact"/>
        <w:ind w:firstLine="640" w:firstLineChars="200"/>
        <w:textAlignment w:val="auto"/>
        <w:rPr>
          <w:rFonts w:hint="default" w:ascii="sans-serif" w:hAnsi="sans-serif" w:eastAsia="sans-serif" w:cs="sans-serif"/>
          <w:i w:val="0"/>
          <w:iCs w:val="0"/>
          <w:caps w:val="0"/>
          <w:color w:val="000000"/>
          <w:spacing w:val="0"/>
          <w:sz w:val="32"/>
          <w:szCs w:val="32"/>
          <w:highlight w:val="none"/>
        </w:rPr>
      </w:pPr>
      <w:r>
        <w:rPr>
          <w:rFonts w:hint="eastAsia" w:ascii="黑体" w:hAnsi="宋体" w:eastAsia="黑体" w:cs="黑体"/>
          <w:i w:val="0"/>
          <w:iCs w:val="0"/>
          <w:caps w:val="0"/>
          <w:color w:val="000000"/>
          <w:spacing w:val="0"/>
          <w:sz w:val="32"/>
          <w:szCs w:val="32"/>
          <w:highlight w:val="none"/>
        </w:rPr>
        <w:t>三、收到和处理政府信息公开申请情况</w:t>
      </w:r>
    </w:p>
    <w:tbl>
      <w:tblPr>
        <w:tblStyle w:val="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75" w:type="dxa"/>
          <w:left w:w="150" w:type="dxa"/>
          <w:bottom w:w="75" w:type="dxa"/>
          <w:right w:w="150" w:type="dxa"/>
        </w:tblCellMar>
      </w:tblPr>
      <w:tblGrid>
        <w:gridCol w:w="615"/>
        <w:gridCol w:w="827"/>
        <w:gridCol w:w="2257"/>
        <w:gridCol w:w="719"/>
        <w:gridCol w:w="749"/>
        <w:gridCol w:w="749"/>
        <w:gridCol w:w="883"/>
        <w:gridCol w:w="898"/>
        <w:gridCol w:w="71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150" w:type="dxa"/>
            <w:bottom w:w="75" w:type="dxa"/>
            <w:right w:w="150" w:type="dxa"/>
          </w:tblCellMar>
        </w:tblPrEx>
        <w:trPr>
          <w:trHeight w:val="345" w:hRule="atLeast"/>
          <w:jc w:val="center"/>
        </w:trPr>
        <w:tc>
          <w:tcPr>
            <w:tcW w:w="3699" w:type="dxa"/>
            <w:gridSpan w:val="3"/>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（本列数据的勾稽关系为：第一项加第二项之和，等于第三项加第四项之和）</w:t>
            </w:r>
          </w:p>
        </w:tc>
        <w:tc>
          <w:tcPr>
            <w:tcW w:w="5436" w:type="dxa"/>
            <w:gridSpan w:val="7"/>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3699" w:type="dxa"/>
            <w:gridSpan w:val="3"/>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719"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自然人</w:t>
            </w:r>
          </w:p>
        </w:tc>
        <w:tc>
          <w:tcPr>
            <w:tcW w:w="3998" w:type="dxa"/>
            <w:gridSpan w:val="5"/>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法人或其他组织</w:t>
            </w:r>
          </w:p>
        </w:tc>
        <w:tc>
          <w:tcPr>
            <w:tcW w:w="719"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90" w:hRule="atLeast"/>
          <w:jc w:val="center"/>
        </w:trPr>
        <w:tc>
          <w:tcPr>
            <w:tcW w:w="3699" w:type="dxa"/>
            <w:gridSpan w:val="3"/>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719"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商业企业</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科研机构</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社会公益组织</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法律服务机构</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其他</w:t>
            </w:r>
          </w:p>
        </w:tc>
        <w:tc>
          <w:tcPr>
            <w:tcW w:w="719"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jc w:val="center"/>
        </w:trPr>
        <w:tc>
          <w:tcPr>
            <w:tcW w:w="3699" w:type="dxa"/>
            <w:gridSpan w:val="3"/>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宋体" w:hAnsi="宋体" w:eastAsia="宋体" w:cs="宋体"/>
                <w:i w:val="0"/>
                <w:iCs w:val="0"/>
                <w:caps w:val="0"/>
                <w:color w:val="000000"/>
                <w:spacing w:val="0"/>
                <w:sz w:val="19"/>
                <w:szCs w:val="19"/>
                <w:highlight w:val="none"/>
              </w:rPr>
              <w:t>一、本年新收政府信息公开申请数量</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1</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jc w:val="center"/>
        </w:trPr>
        <w:tc>
          <w:tcPr>
            <w:tcW w:w="3699" w:type="dxa"/>
            <w:gridSpan w:val="3"/>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宋体" w:hAnsi="宋体" w:eastAsia="宋体" w:cs="宋体"/>
                <w:i w:val="0"/>
                <w:iCs w:val="0"/>
                <w:caps w:val="0"/>
                <w:color w:val="000000"/>
                <w:spacing w:val="0"/>
                <w:sz w:val="19"/>
                <w:szCs w:val="19"/>
                <w:highlight w:val="none"/>
              </w:rPr>
              <w:t>二、上年结转政府信息公开申请数量</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jc w:val="center"/>
        </w:trPr>
        <w:tc>
          <w:tcPr>
            <w:tcW w:w="615"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highlight w:val="none"/>
              </w:rPr>
            </w:pPr>
            <w:r>
              <w:rPr>
                <w:rFonts w:hint="eastAsia" w:ascii="宋体" w:hAnsi="宋体" w:eastAsia="宋体" w:cs="宋体"/>
                <w:i w:val="0"/>
                <w:iCs w:val="0"/>
                <w:caps w:val="0"/>
                <w:color w:val="000000"/>
                <w:spacing w:val="0"/>
                <w:sz w:val="19"/>
                <w:szCs w:val="19"/>
                <w:highlight w:val="none"/>
              </w:rPr>
              <w:t>三、本年度办理结果</w:t>
            </w:r>
          </w:p>
        </w:tc>
        <w:tc>
          <w:tcPr>
            <w:tcW w:w="3084" w:type="dxa"/>
            <w:gridSpan w:val="2"/>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ascii="楷体" w:hAnsi="楷体" w:eastAsia="楷体" w:cs="楷体"/>
                <w:i w:val="0"/>
                <w:iCs w:val="0"/>
                <w:caps w:val="0"/>
                <w:color w:val="000000"/>
                <w:spacing w:val="0"/>
                <w:sz w:val="19"/>
                <w:szCs w:val="19"/>
                <w:highlight w:val="none"/>
              </w:rPr>
              <w:t>（一）予以公开</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705"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3084" w:type="dxa"/>
            <w:gridSpan w:val="2"/>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（二）部分公开（区分处理的，只计这一情形，不计其他情形）</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（三）不予公开</w:t>
            </w: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1.属于国家秘密</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9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2.其他法律行政法规禁止公开</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3.危及“三安全一稳定”</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4.保护第三方合法权益</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9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5.属于三类内部事务信息</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6.属于四类过程性信息</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7.属于行政执法案卷</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8.属于行政查询事项</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705"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（四）无法提供</w:t>
            </w: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color w:val="FF0000"/>
                <w:highlight w:val="none"/>
              </w:rPr>
            </w:pPr>
            <w:r>
              <w:rPr>
                <w:rFonts w:hint="eastAsia" w:ascii="楷体" w:hAnsi="楷体" w:eastAsia="楷体" w:cs="楷体"/>
                <w:i w:val="0"/>
                <w:iCs w:val="0"/>
                <w:caps w:val="0"/>
                <w:color w:val="000000"/>
                <w:spacing w:val="0"/>
                <w:sz w:val="19"/>
                <w:szCs w:val="19"/>
                <w:highlight w:val="none"/>
              </w:rPr>
              <w:t>1.本机关不掌握相关政府信息</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eastAsiaTheme="minorEastAsia"/>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eastAsiaTheme="minorEastAsia"/>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9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2.没有现成信息需要另行制作</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eastAsiaTheme="minorEastAsia"/>
                <w:highlight w:val="none"/>
                <w:lang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eastAsiaTheme="minorEastAsia"/>
                <w:highlight w:val="none"/>
                <w:lang w:eastAsia="zh-CN"/>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705"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3.补正后申请内容仍不明确</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45"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（五）不予处理</w:t>
            </w: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1.信访举报投诉类申请</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i w:val="0"/>
                <w:iCs w:val="0"/>
                <w:caps w:val="0"/>
                <w:color w:val="000000"/>
                <w:spacing w:val="0"/>
                <w:kern w:val="0"/>
                <w:sz w:val="19"/>
                <w:szCs w:val="19"/>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i w:val="0"/>
                <w:iCs w:val="0"/>
                <w:caps w:val="0"/>
                <w:color w:val="000000"/>
                <w:spacing w:val="0"/>
                <w:kern w:val="0"/>
                <w:sz w:val="19"/>
                <w:szCs w:val="19"/>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i w:val="0"/>
                <w:iCs w:val="0"/>
                <w:caps w:val="0"/>
                <w:color w:val="000000"/>
                <w:spacing w:val="0"/>
                <w:kern w:val="0"/>
                <w:sz w:val="19"/>
                <w:szCs w:val="19"/>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i w:val="0"/>
                <w:iCs w:val="0"/>
                <w:caps w:val="0"/>
                <w:color w:val="000000"/>
                <w:spacing w:val="0"/>
                <w:kern w:val="0"/>
                <w:sz w:val="19"/>
                <w:szCs w:val="19"/>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i w:val="0"/>
                <w:iCs w:val="0"/>
                <w:caps w:val="0"/>
                <w:color w:val="000000"/>
                <w:spacing w:val="0"/>
                <w:kern w:val="0"/>
                <w:sz w:val="19"/>
                <w:szCs w:val="19"/>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i w:val="0"/>
                <w:iCs w:val="0"/>
                <w:caps w:val="0"/>
                <w:color w:val="000000"/>
                <w:spacing w:val="0"/>
                <w:kern w:val="0"/>
                <w:sz w:val="19"/>
                <w:szCs w:val="19"/>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宋体" w:hAnsi="宋体" w:eastAsia="宋体" w:cs="宋体"/>
                <w:i w:val="0"/>
                <w:iCs w:val="0"/>
                <w:caps w:val="0"/>
                <w:color w:val="000000"/>
                <w:spacing w:val="0"/>
                <w:kern w:val="0"/>
                <w:sz w:val="19"/>
                <w:szCs w:val="19"/>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2.重复申请</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3.要求提供公开出版物</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705"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4.无正当理由大量反复申请</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69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b w:val="0"/>
                <w:bCs w:val="0"/>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b w:val="0"/>
                <w:bCs w:val="0"/>
                <w:i w:val="0"/>
                <w:iCs w:val="0"/>
                <w:caps w:val="0"/>
                <w:color w:val="000000"/>
                <w:spacing w:val="0"/>
                <w:sz w:val="27"/>
                <w:szCs w:val="27"/>
                <w:highlight w:val="none"/>
              </w:rPr>
            </w:pPr>
          </w:p>
        </w:tc>
        <w:tc>
          <w:tcPr>
            <w:tcW w:w="2257"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b w:val="0"/>
                <w:bCs w:val="0"/>
                <w:highlight w:val="none"/>
              </w:rPr>
            </w:pPr>
            <w:r>
              <w:rPr>
                <w:rFonts w:hint="eastAsia" w:ascii="楷体" w:hAnsi="楷体" w:eastAsia="楷体" w:cs="楷体"/>
                <w:b w:val="0"/>
                <w:bCs w:val="0"/>
                <w:i w:val="0"/>
                <w:iCs w:val="0"/>
                <w:caps w:val="0"/>
                <w:color w:val="000000"/>
                <w:spacing w:val="0"/>
                <w:sz w:val="19"/>
                <w:szCs w:val="19"/>
                <w:highlight w:val="none"/>
              </w:rPr>
              <w:t>5.要求行政机关确认或重新出具已获取信息</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b w:val="0"/>
                <w:bCs w:val="0"/>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b w:val="0"/>
                <w:bCs w:val="0"/>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b w:val="0"/>
                <w:bCs w:val="0"/>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b w:val="0"/>
                <w:bCs w:val="0"/>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b w:val="0"/>
                <w:bCs w:val="0"/>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b w:val="0"/>
                <w:bCs w:val="0"/>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b w:val="0"/>
                <w:bCs w:val="0"/>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r>
              <w:rPr>
                <w:rFonts w:hint="eastAsia" w:ascii="楷体" w:hAnsi="楷体" w:eastAsia="楷体" w:cs="楷体"/>
                <w:i w:val="0"/>
                <w:iCs w:val="0"/>
                <w:caps w:val="0"/>
                <w:color w:val="000000"/>
                <w:spacing w:val="0"/>
                <w:sz w:val="19"/>
                <w:szCs w:val="19"/>
                <w:highlight w:val="none"/>
              </w:rPr>
              <w:t>（六）其他处理</w:t>
            </w:r>
          </w:p>
        </w:tc>
        <w:tc>
          <w:tcPr>
            <w:tcW w:w="2257"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overflowPunct/>
              <w:topLinePunct w:val="0"/>
              <w:autoSpaceDE/>
              <w:autoSpaceDN/>
              <w:bidi w:val="0"/>
              <w:adjustRightInd/>
              <w:snapToGrid/>
              <w:spacing w:line="240" w:lineRule="atLeast"/>
              <w:jc w:val="left"/>
              <w:textAlignment w:val="auto"/>
              <w:rPr>
                <w:rFonts w:hint="eastAsia" w:ascii="楷体" w:hAnsi="楷体" w:eastAsia="楷体" w:cs="楷体"/>
                <w:i w:val="0"/>
                <w:iCs w:val="0"/>
                <w:caps w:val="0"/>
                <w:color w:val="000000"/>
                <w:spacing w:val="0"/>
                <w:kern w:val="0"/>
                <w:sz w:val="19"/>
                <w:szCs w:val="19"/>
                <w:highlight w:val="none"/>
                <w:lang w:val="en-US" w:eastAsia="zh-CN" w:bidi="ar"/>
              </w:rPr>
            </w:pPr>
            <w:r>
              <w:rPr>
                <w:rFonts w:hint="default" w:ascii="楷体" w:hAnsi="楷体" w:eastAsia="楷体" w:cs="楷体"/>
                <w:i w:val="0"/>
                <w:iCs w:val="0"/>
                <w:caps w:val="0"/>
                <w:color w:val="000000"/>
                <w:spacing w:val="0"/>
                <w:kern w:val="0"/>
                <w:sz w:val="19"/>
                <w:szCs w:val="19"/>
                <w:highlight w:val="none"/>
                <w:lang w:val="en-US" w:eastAsia="zh-CN" w:bidi="ar"/>
              </w:rPr>
              <w:t>1.</w:t>
            </w:r>
            <w:r>
              <w:rPr>
                <w:rFonts w:hint="eastAsia" w:ascii="楷体" w:hAnsi="楷体" w:eastAsia="楷体" w:cs="楷体"/>
                <w:i w:val="0"/>
                <w:iCs w:val="0"/>
                <w:caps w:val="0"/>
                <w:color w:val="000000"/>
                <w:spacing w:val="0"/>
                <w:kern w:val="0"/>
                <w:sz w:val="19"/>
                <w:szCs w:val="19"/>
                <w:highlight w:val="none"/>
                <w:lang w:val="en-US" w:eastAsia="zh-CN" w:bidi="ar"/>
              </w:rPr>
              <w:t>申请人无正当理由逾期不补正、行政机关不再处理其政府信息公开申请</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360" w:hRule="atLeast"/>
          <w:jc w:val="center"/>
        </w:trPr>
        <w:tc>
          <w:tcPr>
            <w:tcW w:w="615"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240" w:lineRule="atLeast"/>
              <w:textAlignment w:val="auto"/>
              <w:rPr>
                <w:rFonts w:hint="default" w:ascii="sans-serif" w:hAnsi="sans-serif" w:eastAsia="sans-serif" w:cs="sans-serif"/>
                <w:i w:val="0"/>
                <w:iCs w:val="0"/>
                <w:caps w:val="0"/>
                <w:color w:val="000000"/>
                <w:spacing w:val="0"/>
                <w:sz w:val="27"/>
                <w:szCs w:val="27"/>
                <w:highlight w:val="none"/>
              </w:rPr>
            </w:pPr>
          </w:p>
        </w:tc>
        <w:tc>
          <w:tcPr>
            <w:tcW w:w="827" w:type="dxa"/>
            <w:vMerge w:val="continue"/>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p>
        </w:tc>
        <w:tc>
          <w:tcPr>
            <w:tcW w:w="2257"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overflowPunct/>
              <w:topLinePunct w:val="0"/>
              <w:autoSpaceDE/>
              <w:autoSpaceDN/>
              <w:bidi w:val="0"/>
              <w:adjustRightInd/>
              <w:snapToGrid/>
              <w:spacing w:line="240" w:lineRule="atLeast"/>
              <w:jc w:val="left"/>
              <w:textAlignment w:val="auto"/>
              <w:rPr>
                <w:rFonts w:hint="eastAsia" w:ascii="楷体" w:hAnsi="楷体" w:eastAsia="楷体" w:cs="楷体"/>
                <w:i w:val="0"/>
                <w:iCs w:val="0"/>
                <w:caps w:val="0"/>
                <w:color w:val="000000"/>
                <w:spacing w:val="0"/>
                <w:kern w:val="0"/>
                <w:sz w:val="19"/>
                <w:szCs w:val="19"/>
                <w:highlight w:val="none"/>
                <w:lang w:val="en-US" w:eastAsia="zh-CN" w:bidi="ar"/>
              </w:rPr>
            </w:pPr>
            <w:r>
              <w:rPr>
                <w:rFonts w:hint="default" w:ascii="楷体" w:hAnsi="楷体" w:eastAsia="楷体" w:cs="楷体"/>
                <w:i w:val="0"/>
                <w:iCs w:val="0"/>
                <w:caps w:val="0"/>
                <w:color w:val="000000"/>
                <w:spacing w:val="0"/>
                <w:kern w:val="0"/>
                <w:sz w:val="19"/>
                <w:szCs w:val="19"/>
                <w:highlight w:val="none"/>
                <w:lang w:val="en-US" w:eastAsia="zh-CN" w:bidi="ar"/>
              </w:rPr>
              <w:t>2.</w:t>
            </w:r>
            <w:r>
              <w:rPr>
                <w:rFonts w:hint="eastAsia" w:ascii="楷体" w:hAnsi="楷体" w:eastAsia="楷体" w:cs="楷体"/>
                <w:i w:val="0"/>
                <w:iCs w:val="0"/>
                <w:caps w:val="0"/>
                <w:color w:val="000000"/>
                <w:spacing w:val="0"/>
                <w:kern w:val="0"/>
                <w:sz w:val="19"/>
                <w:szCs w:val="19"/>
                <w:highlight w:val="none"/>
                <w:lang w:val="en-US" w:eastAsia="zh-CN" w:bidi="ar"/>
              </w:rPr>
              <w:t>申请人逾期未按收费通知要求缴纳费用、行政机关不再处理其政府信息公开申请</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ascii="sans-serif" w:hAnsi="sans-serif" w:eastAsia="sans-serif" w:cs="sans-serif"/>
                <w:i w:val="0"/>
                <w:iCs w:val="0"/>
                <w:caps w:val="0"/>
                <w:color w:val="000000"/>
                <w:spacing w:val="0"/>
                <w:sz w:val="27"/>
                <w:szCs w:val="27"/>
                <w:highlight w:val="none"/>
              </w:rPr>
            </w:pPr>
            <w:r>
              <w:rPr>
                <w:rFonts w:hint="eastAsia" w:ascii="宋体" w:hAnsi="宋体" w:eastAsia="宋体" w:cs="宋体"/>
                <w:i w:val="0"/>
                <w:iCs w:val="0"/>
                <w:caps w:val="0"/>
                <w:color w:val="000000"/>
                <w:spacing w:val="0"/>
                <w:sz w:val="19"/>
                <w:szCs w:val="19"/>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80" w:hRule="atLeast"/>
          <w:jc w:val="center"/>
        </w:trPr>
        <w:tc>
          <w:tcPr>
            <w:tcW w:w="615" w:type="dxa"/>
            <w:vMerge w:val="continue"/>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p>
        </w:tc>
        <w:tc>
          <w:tcPr>
            <w:tcW w:w="827" w:type="dxa"/>
            <w:vMerge w:val="continue"/>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highlight w:val="none"/>
              </w:rPr>
            </w:pPr>
          </w:p>
        </w:tc>
        <w:tc>
          <w:tcPr>
            <w:tcW w:w="2257" w:type="dxa"/>
            <w:shd w:val="clear" w:color="auto" w:fill="auto"/>
            <w:tcMar>
              <w:top w:w="0" w:type="dxa"/>
              <w:left w:w="105" w:type="dxa"/>
              <w:bottom w:w="0" w:type="dxa"/>
              <w:right w:w="105" w:type="dxa"/>
            </w:tcMar>
            <w:vAlign w:val="center"/>
          </w:tcPr>
          <w:p>
            <w:pPr>
              <w:keepNext w:val="0"/>
              <w:keepLines w:val="0"/>
              <w:pageBreakBefore w:val="0"/>
              <w:widowControl w:val="0"/>
              <w:suppressLineNumbers w:val="0"/>
              <w:kinsoku/>
              <w:overflowPunct/>
              <w:topLinePunct w:val="0"/>
              <w:autoSpaceDE/>
              <w:autoSpaceDN/>
              <w:bidi w:val="0"/>
              <w:adjustRightInd/>
              <w:snapToGrid/>
              <w:spacing w:line="240" w:lineRule="atLeast"/>
              <w:jc w:val="left"/>
              <w:textAlignment w:val="auto"/>
              <w:rPr>
                <w:rFonts w:hint="eastAsia" w:ascii="楷体" w:hAnsi="楷体" w:eastAsia="楷体" w:cs="楷体"/>
                <w:i w:val="0"/>
                <w:iCs w:val="0"/>
                <w:caps w:val="0"/>
                <w:color w:val="000000"/>
                <w:spacing w:val="0"/>
                <w:kern w:val="0"/>
                <w:sz w:val="19"/>
                <w:szCs w:val="19"/>
                <w:highlight w:val="none"/>
                <w:lang w:val="en-US" w:eastAsia="zh-CN" w:bidi="ar"/>
              </w:rPr>
            </w:pPr>
            <w:r>
              <w:rPr>
                <w:rFonts w:hint="default" w:ascii="楷体" w:hAnsi="楷体" w:eastAsia="楷体" w:cs="楷体"/>
                <w:i w:val="0"/>
                <w:iCs w:val="0"/>
                <w:caps w:val="0"/>
                <w:color w:val="000000"/>
                <w:spacing w:val="0"/>
                <w:kern w:val="0"/>
                <w:sz w:val="19"/>
                <w:szCs w:val="19"/>
                <w:highlight w:val="none"/>
                <w:lang w:val="en-US" w:eastAsia="zh-CN" w:bidi="ar"/>
              </w:rPr>
              <w:t>3.</w:t>
            </w:r>
            <w:r>
              <w:rPr>
                <w:rFonts w:hint="eastAsia" w:ascii="楷体" w:hAnsi="楷体" w:eastAsia="楷体" w:cs="楷体"/>
                <w:i w:val="0"/>
                <w:iCs w:val="0"/>
                <w:caps w:val="0"/>
                <w:color w:val="000000"/>
                <w:spacing w:val="0"/>
                <w:kern w:val="0"/>
                <w:sz w:val="19"/>
                <w:szCs w:val="19"/>
                <w:highlight w:val="none"/>
                <w:lang w:val="en-US" w:eastAsia="zh-CN" w:bidi="ar"/>
              </w:rPr>
              <w:t>其他</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default" w:eastAsiaTheme="minorEastAsia"/>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1</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宋体" w:cs="sans-serif"/>
                <w:i w:val="0"/>
                <w:iCs w:val="0"/>
                <w:caps w:val="0"/>
                <w:color w:val="000000"/>
                <w:spacing w:val="0"/>
                <w:sz w:val="27"/>
                <w:szCs w:val="27"/>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宋体" w:cs="sans-serif"/>
                <w:i w:val="0"/>
                <w:iCs w:val="0"/>
                <w:caps w:val="0"/>
                <w:color w:val="000000"/>
                <w:spacing w:val="0"/>
                <w:sz w:val="27"/>
                <w:szCs w:val="27"/>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宋体" w:cs="sans-serif"/>
                <w:i w:val="0"/>
                <w:iCs w:val="0"/>
                <w:caps w:val="0"/>
                <w:color w:val="000000"/>
                <w:spacing w:val="0"/>
                <w:sz w:val="27"/>
                <w:szCs w:val="27"/>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宋体" w:cs="sans-serif"/>
                <w:i w:val="0"/>
                <w:iCs w:val="0"/>
                <w:caps w:val="0"/>
                <w:color w:val="000000"/>
                <w:spacing w:val="0"/>
                <w:sz w:val="27"/>
                <w:szCs w:val="27"/>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宋体" w:cs="sans-serif"/>
                <w:i w:val="0"/>
                <w:iCs w:val="0"/>
                <w:caps w:val="0"/>
                <w:color w:val="000000"/>
                <w:spacing w:val="0"/>
                <w:sz w:val="27"/>
                <w:szCs w:val="27"/>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eastAsiaTheme="minorEastAsia"/>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80" w:hRule="atLeast"/>
          <w:jc w:val="center"/>
        </w:trPr>
        <w:tc>
          <w:tcPr>
            <w:tcW w:w="615" w:type="dxa"/>
            <w:vMerge w:val="continue"/>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rFonts w:hint="eastAsia" w:ascii="宋体" w:hAnsi="宋体" w:eastAsia="宋体" w:cs="宋体"/>
                <w:i w:val="0"/>
                <w:iCs w:val="0"/>
                <w:caps w:val="0"/>
                <w:color w:val="000000"/>
                <w:spacing w:val="0"/>
                <w:sz w:val="19"/>
                <w:szCs w:val="19"/>
                <w:highlight w:val="none"/>
              </w:rPr>
            </w:pPr>
          </w:p>
        </w:tc>
        <w:tc>
          <w:tcPr>
            <w:tcW w:w="3084" w:type="dxa"/>
            <w:gridSpan w:val="2"/>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textAlignment w:val="auto"/>
              <w:rPr>
                <w:rFonts w:hint="eastAsia" w:ascii="宋体" w:hAnsi="宋体" w:eastAsia="宋体" w:cs="宋体"/>
                <w:i w:val="0"/>
                <w:iCs w:val="0"/>
                <w:caps w:val="0"/>
                <w:color w:val="000000"/>
                <w:spacing w:val="0"/>
                <w:sz w:val="19"/>
                <w:szCs w:val="19"/>
                <w:highlight w:val="none"/>
              </w:rPr>
            </w:pPr>
            <w:r>
              <w:rPr>
                <w:rFonts w:hint="eastAsia" w:ascii="楷体" w:hAnsi="楷体" w:eastAsia="楷体" w:cs="楷体"/>
                <w:i w:val="0"/>
                <w:iCs w:val="0"/>
                <w:caps w:val="0"/>
                <w:color w:val="000000"/>
                <w:spacing w:val="0"/>
                <w:sz w:val="19"/>
                <w:szCs w:val="19"/>
                <w:highlight w:val="none"/>
              </w:rPr>
              <w:t>（七）总计</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1</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宋体" w:hAnsi="宋体" w:eastAsia="宋体" w:cs="宋体"/>
                <w:i w:val="0"/>
                <w:iCs w:val="0"/>
                <w:caps w:val="0"/>
                <w:color w:val="000000"/>
                <w:spacing w:val="0"/>
                <w:sz w:val="19"/>
                <w:szCs w:val="19"/>
                <w:highlight w:val="none"/>
                <w:lang w:val="en-US" w:eastAsia="zh-CN"/>
              </w:rPr>
            </w:pPr>
            <w:r>
              <w:rPr>
                <w:rFonts w:hint="eastAsia" w:ascii="宋体" w:hAnsi="宋体" w:eastAsia="宋体" w:cs="宋体"/>
                <w:i w:val="0"/>
                <w:iCs w:val="0"/>
                <w:caps w:val="0"/>
                <w:color w:val="000000"/>
                <w:spacing w:val="0"/>
                <w:sz w:val="19"/>
                <w:szCs w:val="19"/>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480" w:hRule="atLeast"/>
          <w:jc w:val="center"/>
        </w:trPr>
        <w:tc>
          <w:tcPr>
            <w:tcW w:w="3699" w:type="dxa"/>
            <w:gridSpan w:val="3"/>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i w:val="0"/>
                <w:iCs w:val="0"/>
                <w:caps w:val="0"/>
                <w:color w:val="000000"/>
                <w:spacing w:val="0"/>
                <w:sz w:val="19"/>
                <w:szCs w:val="19"/>
                <w:highlight w:val="none"/>
              </w:rPr>
              <w:t>四、结转下年度继续办理</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sans-serif" w:cs="sans-serif"/>
                <w:i w:val="0"/>
                <w:iCs w:val="0"/>
                <w:caps w:val="0"/>
                <w:color w:val="000000"/>
                <w:spacing w:val="0"/>
                <w:kern w:val="0"/>
                <w:sz w:val="27"/>
                <w:szCs w:val="27"/>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4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sans-serif" w:cs="sans-serif"/>
                <w:i w:val="0"/>
                <w:iCs w:val="0"/>
                <w:caps w:val="0"/>
                <w:color w:val="000000"/>
                <w:spacing w:val="0"/>
                <w:kern w:val="0"/>
                <w:sz w:val="27"/>
                <w:szCs w:val="27"/>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883"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sans-serif" w:cs="sans-serif"/>
                <w:i w:val="0"/>
                <w:iCs w:val="0"/>
                <w:caps w:val="0"/>
                <w:color w:val="000000"/>
                <w:spacing w:val="0"/>
                <w:kern w:val="0"/>
                <w:sz w:val="27"/>
                <w:szCs w:val="27"/>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898"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sans-serif" w:cs="sans-serif"/>
                <w:i w:val="0"/>
                <w:iCs w:val="0"/>
                <w:caps w:val="0"/>
                <w:color w:val="000000"/>
                <w:spacing w:val="0"/>
                <w:kern w:val="0"/>
                <w:sz w:val="27"/>
                <w:szCs w:val="27"/>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sans-serif" w:hAnsi="sans-serif" w:eastAsia="sans-serif" w:cs="sans-serif"/>
                <w:i w:val="0"/>
                <w:iCs w:val="0"/>
                <w:caps w:val="0"/>
                <w:color w:val="000000"/>
                <w:spacing w:val="0"/>
                <w:kern w:val="0"/>
                <w:sz w:val="27"/>
                <w:szCs w:val="27"/>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c>
          <w:tcPr>
            <w:tcW w:w="719"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i w:val="0"/>
                <w:iCs w:val="0"/>
                <w:caps w:val="0"/>
                <w:color w:val="000000"/>
                <w:spacing w:val="0"/>
                <w:sz w:val="19"/>
                <w:szCs w:val="19"/>
                <w:highlight w:val="none"/>
                <w:lang w:val="en-US" w:eastAsia="zh-CN"/>
              </w:rPr>
              <w:t>0</w:t>
            </w:r>
          </w:p>
        </w:tc>
      </w:tr>
    </w:tbl>
    <w:p>
      <w:pPr>
        <w:pStyle w:val="5"/>
        <w:keepNext w:val="0"/>
        <w:keepLines w:val="0"/>
        <w:pageBreakBefore w:val="0"/>
        <w:widowControl w:val="0"/>
        <w:suppressLineNumbers w:val="0"/>
        <w:kinsoku/>
        <w:overflowPunct/>
        <w:topLinePunct w:val="0"/>
        <w:autoSpaceDE/>
        <w:autoSpaceDN/>
        <w:bidi w:val="0"/>
        <w:adjustRightInd/>
        <w:snapToGrid/>
        <w:spacing w:beforeAutospacing="0" w:after="150" w:afterAutospacing="0" w:line="600" w:lineRule="exact"/>
        <w:ind w:left="0" w:firstLine="645"/>
        <w:textAlignment w:val="auto"/>
        <w:rPr>
          <w:rFonts w:hint="default" w:ascii="sans-serif" w:hAnsi="sans-serif" w:eastAsia="sans-serif" w:cs="sans-serif"/>
          <w:i w:val="0"/>
          <w:iCs w:val="0"/>
          <w:caps w:val="0"/>
          <w:color w:val="000000"/>
          <w:spacing w:val="0"/>
          <w:sz w:val="32"/>
          <w:szCs w:val="32"/>
          <w:highlight w:val="none"/>
        </w:rPr>
      </w:pPr>
      <w:r>
        <w:rPr>
          <w:rFonts w:hint="eastAsia" w:ascii="黑体" w:hAnsi="宋体" w:eastAsia="黑体" w:cs="黑体"/>
          <w:i w:val="0"/>
          <w:iCs w:val="0"/>
          <w:caps w:val="0"/>
          <w:color w:val="000000"/>
          <w:spacing w:val="0"/>
          <w:sz w:val="32"/>
          <w:szCs w:val="32"/>
          <w:highlight w:val="none"/>
        </w:rPr>
        <w:t>四、政府信息公开行政复议、行政诉讼情况</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75" w:type="dxa"/>
          <w:left w:w="150" w:type="dxa"/>
          <w:bottom w:w="75" w:type="dxa"/>
          <w:right w:w="150" w:type="dxa"/>
        </w:tblCellMar>
      </w:tblPr>
      <w:tblGrid>
        <w:gridCol w:w="575"/>
        <w:gridCol w:w="575"/>
        <w:gridCol w:w="575"/>
        <w:gridCol w:w="575"/>
        <w:gridCol w:w="641"/>
        <w:gridCol w:w="536"/>
        <w:gridCol w:w="576"/>
        <w:gridCol w:w="576"/>
        <w:gridCol w:w="576"/>
        <w:gridCol w:w="589"/>
        <w:gridCol w:w="576"/>
        <w:gridCol w:w="576"/>
        <w:gridCol w:w="576"/>
        <w:gridCol w:w="576"/>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jc w:val="center"/>
        </w:trPr>
        <w:tc>
          <w:tcPr>
            <w:tcW w:w="3075" w:type="dxa"/>
            <w:gridSpan w:val="5"/>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行政复议</w:t>
            </w:r>
          </w:p>
        </w:tc>
        <w:tc>
          <w:tcPr>
            <w:tcW w:w="6000" w:type="dxa"/>
            <w:gridSpan w:val="10"/>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color w:val="auto"/>
                <w:highlight w:val="none"/>
              </w:rPr>
            </w:pPr>
            <w:r>
              <w:rPr>
                <w:rFonts w:hint="eastAsia" w:ascii="宋体" w:hAnsi="宋体" w:eastAsia="宋体" w:cs="宋体"/>
                <w:color w:val="auto"/>
                <w:sz w:val="19"/>
                <w:szCs w:val="19"/>
                <w:highlight w:val="none"/>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jc w:val="center"/>
        </w:trPr>
        <w:tc>
          <w:tcPr>
            <w:tcW w:w="600"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结果维持</w:t>
            </w:r>
          </w:p>
        </w:tc>
        <w:tc>
          <w:tcPr>
            <w:tcW w:w="600"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结果纠正</w:t>
            </w:r>
          </w:p>
        </w:tc>
        <w:tc>
          <w:tcPr>
            <w:tcW w:w="600"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其他结果</w:t>
            </w:r>
          </w:p>
        </w:tc>
        <w:tc>
          <w:tcPr>
            <w:tcW w:w="600"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尚未审结</w:t>
            </w:r>
          </w:p>
        </w:tc>
        <w:tc>
          <w:tcPr>
            <w:tcW w:w="660" w:type="dxa"/>
            <w:vMerge w:val="restart"/>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总计</w:t>
            </w:r>
          </w:p>
        </w:tc>
        <w:tc>
          <w:tcPr>
            <w:tcW w:w="2970" w:type="dxa"/>
            <w:gridSpan w:val="5"/>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color w:val="auto"/>
                <w:highlight w:val="none"/>
              </w:rPr>
            </w:pPr>
            <w:r>
              <w:rPr>
                <w:rFonts w:hint="eastAsia" w:ascii="宋体" w:hAnsi="宋体" w:eastAsia="宋体" w:cs="宋体"/>
                <w:color w:val="auto"/>
                <w:sz w:val="19"/>
                <w:szCs w:val="19"/>
                <w:highlight w:val="none"/>
              </w:rPr>
              <w:t>未经复议直接起诉</w:t>
            </w:r>
          </w:p>
        </w:tc>
        <w:tc>
          <w:tcPr>
            <w:tcW w:w="3030" w:type="dxa"/>
            <w:gridSpan w:val="5"/>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color w:val="auto"/>
                <w:highlight w:val="none"/>
              </w:rPr>
            </w:pPr>
            <w:r>
              <w:rPr>
                <w:rFonts w:hint="eastAsia" w:ascii="宋体" w:hAnsi="宋体" w:eastAsia="宋体" w:cs="宋体"/>
                <w:color w:val="auto"/>
                <w:sz w:val="19"/>
                <w:szCs w:val="19"/>
                <w:highlight w:val="no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1340" w:hRule="atLeast"/>
          <w:jc w:val="center"/>
        </w:trPr>
        <w:tc>
          <w:tcPr>
            <w:tcW w:w="600"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400" w:lineRule="exact"/>
              <w:textAlignment w:val="auto"/>
              <w:rPr>
                <w:rFonts w:hint="eastAsia" w:ascii="宋体"/>
                <w:sz w:val="24"/>
                <w:szCs w:val="24"/>
                <w:highlight w:val="none"/>
              </w:rPr>
            </w:pPr>
          </w:p>
        </w:tc>
        <w:tc>
          <w:tcPr>
            <w:tcW w:w="600"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400" w:lineRule="exact"/>
              <w:textAlignment w:val="auto"/>
              <w:rPr>
                <w:rFonts w:hint="eastAsia" w:ascii="宋体"/>
                <w:sz w:val="24"/>
                <w:szCs w:val="24"/>
                <w:highlight w:val="none"/>
              </w:rPr>
            </w:pPr>
          </w:p>
        </w:tc>
        <w:tc>
          <w:tcPr>
            <w:tcW w:w="600"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400" w:lineRule="exact"/>
              <w:textAlignment w:val="auto"/>
              <w:rPr>
                <w:rFonts w:hint="eastAsia" w:ascii="宋体"/>
                <w:sz w:val="24"/>
                <w:szCs w:val="24"/>
                <w:highlight w:val="none"/>
              </w:rPr>
            </w:pPr>
          </w:p>
        </w:tc>
        <w:tc>
          <w:tcPr>
            <w:tcW w:w="600"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400" w:lineRule="exact"/>
              <w:textAlignment w:val="auto"/>
              <w:rPr>
                <w:rFonts w:hint="eastAsia" w:ascii="宋体"/>
                <w:sz w:val="24"/>
                <w:szCs w:val="24"/>
                <w:highlight w:val="none"/>
              </w:rPr>
            </w:pPr>
          </w:p>
        </w:tc>
        <w:tc>
          <w:tcPr>
            <w:tcW w:w="660" w:type="dxa"/>
            <w:vMerge w:val="continue"/>
            <w:shd w:val="clear" w:color="auto" w:fill="auto"/>
            <w:tcMar>
              <w:top w:w="0" w:type="dxa"/>
              <w:left w:w="105" w:type="dxa"/>
              <w:bottom w:w="0" w:type="dxa"/>
              <w:right w:w="105" w:type="dxa"/>
            </w:tcMar>
            <w:vAlign w:val="center"/>
          </w:tcPr>
          <w:p>
            <w:pPr>
              <w:keepNext w:val="0"/>
              <w:keepLines w:val="0"/>
              <w:pageBreakBefore w:val="0"/>
              <w:widowControl w:val="0"/>
              <w:kinsoku/>
              <w:overflowPunct/>
              <w:topLinePunct w:val="0"/>
              <w:autoSpaceDE/>
              <w:autoSpaceDN/>
              <w:bidi w:val="0"/>
              <w:adjustRightInd/>
              <w:snapToGrid/>
              <w:spacing w:beforeAutospacing="0" w:line="400" w:lineRule="exact"/>
              <w:textAlignment w:val="auto"/>
              <w:rPr>
                <w:rFonts w:hint="eastAsia" w:ascii="宋体"/>
                <w:sz w:val="24"/>
                <w:szCs w:val="24"/>
                <w:highlight w:val="none"/>
              </w:rPr>
            </w:pP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color w:val="auto"/>
                <w:highlight w:val="none"/>
              </w:rPr>
            </w:pPr>
            <w:r>
              <w:rPr>
                <w:rFonts w:hint="eastAsia" w:ascii="宋体" w:hAnsi="宋体" w:eastAsia="宋体" w:cs="宋体"/>
                <w:color w:val="auto"/>
                <w:sz w:val="19"/>
                <w:szCs w:val="19"/>
                <w:highlight w:val="none"/>
              </w:rPr>
              <w:t>结果维持</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结果纠正</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其他结果</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尚未审结</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总计</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结果维持</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结果纠正</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其他结果</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尚未审结</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highlight w:val="none"/>
              </w:rPr>
            </w:pPr>
            <w:r>
              <w:rPr>
                <w:rFonts w:hint="eastAsia" w:ascii="宋体" w:hAnsi="宋体" w:eastAsia="宋体" w:cs="宋体"/>
                <w:sz w:val="19"/>
                <w:szCs w:val="19"/>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75" w:type="dxa"/>
            <w:left w:w="150" w:type="dxa"/>
            <w:bottom w:w="75" w:type="dxa"/>
            <w:right w:w="150" w:type="dxa"/>
          </w:tblCellMar>
        </w:tblPrEx>
        <w:trPr>
          <w:trHeight w:val="945" w:hRule="atLeast"/>
          <w:jc w:val="center"/>
        </w:trPr>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eastAsiaTheme="minorEastAsia"/>
                <w:highlight w:val="none"/>
                <w:lang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66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eastAsiaTheme="minorEastAsia"/>
                <w:highlight w:val="none"/>
                <w:lang w:eastAsia="zh-CN"/>
              </w:rPr>
            </w:pPr>
            <w:r>
              <w:rPr>
                <w:rFonts w:hint="eastAsia" w:ascii="宋体" w:hAnsi="宋体" w:eastAsia="宋体" w:cs="宋体"/>
                <w:i w:val="0"/>
                <w:iCs w:val="0"/>
                <w:caps w:val="0"/>
                <w:color w:val="000000"/>
                <w:spacing w:val="0"/>
                <w:sz w:val="19"/>
                <w:szCs w:val="19"/>
                <w:highlight w:val="none"/>
                <w:lang w:val="en-US" w:eastAsia="zh-CN"/>
              </w:rPr>
              <w:t>0</w:t>
            </w:r>
          </w:p>
        </w:tc>
        <w:tc>
          <w:tcPr>
            <w:tcW w:w="555"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color w:val="auto"/>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c>
          <w:tcPr>
            <w:tcW w:w="600" w:type="dxa"/>
            <w:shd w:val="clear" w:color="auto" w:fill="auto"/>
            <w:tcMar>
              <w:top w:w="0" w:type="dxa"/>
              <w:left w:w="105" w:type="dxa"/>
              <w:bottom w:w="0" w:type="dxa"/>
              <w:right w:w="105"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highlight w:val="none"/>
              </w:rPr>
            </w:pPr>
            <w:r>
              <w:rPr>
                <w:rFonts w:hint="eastAsia" w:ascii="宋体" w:hAnsi="宋体" w:eastAsia="宋体" w:cs="宋体"/>
                <w:i w:val="0"/>
                <w:iCs w:val="0"/>
                <w:caps w:val="0"/>
                <w:color w:val="000000"/>
                <w:spacing w:val="0"/>
                <w:sz w:val="19"/>
                <w:szCs w:val="19"/>
                <w:highlight w:val="none"/>
                <w:lang w:val="en-US" w:eastAsia="zh-CN"/>
              </w:rPr>
              <w:t>0</w:t>
            </w:r>
          </w:p>
        </w:tc>
      </w:tr>
    </w:tbl>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i w:val="0"/>
          <w:iCs w:val="0"/>
          <w:caps w:val="0"/>
          <w:color w:val="000000"/>
          <w:spacing w:val="0"/>
          <w:sz w:val="32"/>
          <w:szCs w:val="32"/>
          <w:highlight w:val="none"/>
        </w:rPr>
      </w:pPr>
      <w:r>
        <w:rPr>
          <w:rFonts w:hint="default" w:ascii="Times New Roman" w:hAnsi="Times New Roman" w:eastAsia="黑体" w:cs="Times New Roman"/>
          <w:i w:val="0"/>
          <w:iCs w:val="0"/>
          <w:caps w:val="0"/>
          <w:color w:val="000000"/>
          <w:spacing w:val="0"/>
          <w:sz w:val="32"/>
          <w:szCs w:val="32"/>
          <w:highlight w:val="none"/>
        </w:rPr>
        <w:t>五、存在的主要问题及改进情况</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存在的主要问题：一是信息公开工作人员队伍薄弱，多为兼职为主，公开工作环节和细节把握不够精准，影响了信息公开质量；二是发布信息的关注度不高，发布的信息多以枯燥的文字形式为主，吸引力不够，有待进一步提高。</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改进措施：持续强化机关全员参与公开工作的意识，鼓励各科室主动报送信息，优化资源配置，缓解人员压力；强化对公开工作流程规范和业务知识的培训，提升工作人员业务技能培训，提高业务水平；继续发挥好政务公开方式的优势，同时创新公开形式，拓宽公开渠道，增强国资国企公开内容的原创力度，更好弘扬国资国企正能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六、其他需要报告的事项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1.收取信息处理费情况方面。2025年度区国资局依申请公开信息未收取信息处理费。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2.落实上级年度政务公开工作要点情况。按照</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省市区有关公开工作的安排和部署</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，区国资局聚焦国资国企监管、国有企业改革发展等重点工作，持续抓好重点领域信息公开，积极主动回应社会关切，更好地展现出我区国有企业深化改革发展的成效，进一步提升了政务公开质量和实效。</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3.人大代表建议和政协提案办理情况方面。本年度区国资局作为主办单位承办区级人大建议1件，内容涉及“关于优化国有企业绩效考核制度的建议”。区级政协提案1件，内容涉及“关于深化我区国企改革的意见建议”。截至2025年底，所有人大建议和政协提案均已办结，答复率、满意率均达100%。</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4.开展政务公开创新方面。薛城区国资局结合本单位职能和国资国企实际，持续推进国有企业和群众满意度监督评价，开展“新国资大讲堂”活动，深入解读深化国有企业改革相关政策文件，助力我区国有企业做强做优做大。</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5.本单位政府信息公开工作年度报告数据统计需要说明的事项：无</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6.其他有关文件专门要求通过政府信息公开工作年度报告予以报告的事项：无</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default" w:ascii="Times New Roman" w:hAnsi="Times New Roman" w:eastAsia="微软雅黑" w:cs="Times New Roman"/>
          <w:i w:val="0"/>
          <w:iCs w:val="0"/>
          <w:caps w:val="0"/>
          <w:color w:val="000000"/>
          <w:spacing w:val="0"/>
          <w:sz w:val="24"/>
          <w:szCs w:val="24"/>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240" w:lineRule="auto"/>
        <w:jc w:val="both"/>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YjMwMDAzMGY0MGRiNGU3MDQ4ZGNiMWU4YjhlNTMifQ=="/>
  </w:docVars>
  <w:rsids>
    <w:rsidRoot w:val="27A1525E"/>
    <w:rsid w:val="01980951"/>
    <w:rsid w:val="025B6887"/>
    <w:rsid w:val="067E2EB5"/>
    <w:rsid w:val="0C7522FA"/>
    <w:rsid w:val="0D8C2570"/>
    <w:rsid w:val="114471C2"/>
    <w:rsid w:val="15010A80"/>
    <w:rsid w:val="15102F39"/>
    <w:rsid w:val="1A021656"/>
    <w:rsid w:val="1A114A50"/>
    <w:rsid w:val="1C5E2C80"/>
    <w:rsid w:val="1D6E5A13"/>
    <w:rsid w:val="1D844C24"/>
    <w:rsid w:val="1EB64334"/>
    <w:rsid w:val="1FC02D7C"/>
    <w:rsid w:val="20B1741B"/>
    <w:rsid w:val="210D02DD"/>
    <w:rsid w:val="244E2CF4"/>
    <w:rsid w:val="24B57E52"/>
    <w:rsid w:val="262250F4"/>
    <w:rsid w:val="27A1525E"/>
    <w:rsid w:val="2B1C0A93"/>
    <w:rsid w:val="33C775AF"/>
    <w:rsid w:val="3454091A"/>
    <w:rsid w:val="36C9344F"/>
    <w:rsid w:val="3A0FACBE"/>
    <w:rsid w:val="3A2079B5"/>
    <w:rsid w:val="45E74577"/>
    <w:rsid w:val="4B742BA4"/>
    <w:rsid w:val="528172AA"/>
    <w:rsid w:val="5FFF9A9E"/>
    <w:rsid w:val="67BBD621"/>
    <w:rsid w:val="6A3C265A"/>
    <w:rsid w:val="6F241291"/>
    <w:rsid w:val="71625291"/>
    <w:rsid w:val="7CBFF7D1"/>
    <w:rsid w:val="96DDDDEF"/>
    <w:rsid w:val="B7D7924B"/>
    <w:rsid w:val="DFEA59F5"/>
    <w:rsid w:val="FFDF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2705</Words>
  <Characters>2865</Characters>
  <Lines>0</Lines>
  <Paragraphs>0</Paragraphs>
  <TotalTime>2</TotalTime>
  <ScaleCrop>false</ScaleCrop>
  <LinksUpToDate>false</LinksUpToDate>
  <CharactersWithSpaces>2889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2022-01-25T18:30:00Z</dcterms:created>
  <dc:creator>莫回首丶</dc:creator>
  <cp:lastModifiedBy>user</cp:lastModifiedBy>
  <cp:lastPrinted>2024-01-15T09:06:00Z</cp:lastPrinted>
  <dcterms:modified xsi:type="dcterms:W3CDTF">2026-01-16T10:08:07Z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9EED83C6F72C4B78A057895A1A310700_13</vt:lpwstr>
  </property>
  <property fmtid="{D5CDD505-2E9C-101B-9397-08002B2CF9AE}" pid="4" name="KSOTemplateDocerSaveRecord">
    <vt:lpwstr>eyJoZGlkIjoiZjcxYjMwMDAzMGY0MGRiNGU3MDQ4ZGNiMWU4YjhlNTMiLCJ1c2VySWQiOiI2NzA5NjMxMTcifQ==</vt:lpwstr>
  </property>
</Properties>
</file>