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薛城区临城街道</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lang w:eastAsia="zh-CN"/>
        </w:rPr>
        <w:t>年</w:t>
      </w:r>
      <w:bookmarkStart w:id="0" w:name="_GoBack"/>
      <w:bookmarkEnd w:id="0"/>
      <w:r>
        <w:rPr>
          <w:rFonts w:hint="default" w:ascii="Times New Roman" w:hAnsi="Times New Roman" w:eastAsia="方正小标宋简体" w:cs="Times New Roman"/>
          <w:sz w:val="44"/>
          <w:szCs w:val="44"/>
          <w:lang w:eastAsia="zh-CN"/>
        </w:rPr>
        <w:t>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根据《中华人民共和国政府信息公开条例》和《关于做好2025年政府信息公开工作年度报告编制和发布工作的通知》要求，特向社会公布2025年度薛城区临城街道办事处政府信息公开工作年度报告。本报告包括：总体情况；主动公开政府信息情况；收到和处理政府信息公开申请情况；政府信息公开行政复议、行政诉讼情况；存在的主要问题及改进情况；其他需要报告的事项等六部分，本年度报告中所列数据的时限自2025年1月1日至2025年12月31日。</w:t>
      </w:r>
      <w:r>
        <w:rPr>
          <w:rFonts w:hint="default" w:ascii="Times New Roman" w:hAnsi="Times New Roman" w:eastAsia="仿宋_GB2312" w:cs="Times New Roman"/>
          <w:sz w:val="32"/>
          <w:szCs w:val="32"/>
          <w:lang w:val="en-US" w:eastAsia="zh-CN"/>
        </w:rPr>
        <w:t>本年度报告的电子版可以在“薛城区政府门户网站”（http://www.xuecheng.gov.cn/zwgk/xxgknb/202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xxgknb/）下载。如对本报告有疑问，可与薛城区临城街道办事处党政办公室联系（地址：薛城区永福北路1332号;邮政编码：277000；电话：0632—4412245;邮箱：lc4412245@zz.shandong.cn）。</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一、总体情况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2025年，临城街道以习近平新时代中国特色社会主义思想为指导，</w:t>
      </w:r>
      <w:r>
        <w:rPr>
          <w:rFonts w:hint="default" w:ascii="Times New Roman" w:hAnsi="Times New Roman" w:eastAsia="仿宋_GB2312" w:cs="Times New Roman"/>
          <w:sz w:val="32"/>
          <w:szCs w:val="32"/>
          <w:lang w:val="en-US" w:eastAsia="zh-CN"/>
        </w:rPr>
        <w:t>深入贯彻党的二十大和二十届历次全会精神，</w:t>
      </w:r>
      <w:r>
        <w:rPr>
          <w:rFonts w:hint="default" w:ascii="Times New Roman" w:hAnsi="Times New Roman" w:eastAsia="仿宋_GB2312" w:cs="Times New Roman"/>
          <w:sz w:val="32"/>
          <w:szCs w:val="32"/>
        </w:rPr>
        <w:t>严格遵循《中华人民共和国政府信息公开条例》规定，紧扣区委、区政府中心工作和群众急难愁盼问题，通过健全机制、拓展渠道、强化监督，持续提升政务公开规范化、精准化、便民化水平，为辖区高质量发展营造了透明高效的政务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主动公开情况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聚焦《条例》第二十条、第二十一条法定公开内容，全年累计撰写发布工作动态等政务信息稿件</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篇，更新政府信息公开内容</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依申请公开情况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建立健全依申请公开“接收-审核-办理-答复”全流程闭环机制，明确办理时限和责任分工。202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年度临城街道未收到依申请公开件。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政府信息管理情况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公开为常态，不公开为例外”原则，优化政府信息主动公开目录，完善全生命周期管理制度。严格落实信息发布审查、保密审查等制度，执行“谁职责、谁公开”“谁公开、谁审查”“谁审查、谁负责”工作机制，全年未发生信息泄露或虚假信息发布情况。同时，动态调整规范性文件管理清单，确保公开信息合法合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平台建设情况。线上平台方面，充分发挥区政府门户网站第一公开平台作用，指定专人负责栏目日常维护和内容更新，确保信息发布及时、准确、权威。线下渠道方面，持续巩固和拓展政务服务大厅、村（社区）便民服务中心（站）等场所的政务公开专区（栏）建设，重点公开与群众生产生活密切相关的“三资”管理、惠民补贴、养老服务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监督保障</w:t>
      </w:r>
      <w:r>
        <w:rPr>
          <w:rFonts w:hint="default" w:ascii="Times New Roman" w:hAnsi="Times New Roman" w:eastAsia="仿宋_GB2312" w:cs="Times New Roman"/>
          <w:sz w:val="32"/>
          <w:szCs w:val="32"/>
          <w:lang w:eastAsia="zh-CN"/>
        </w:rPr>
        <w:t>情况。调整充实街道政务公开工作领导小组，明确职责分工，形成主要领导亲自抓、分管领导具体抓、职能部门抓落实的工作格局。年内组织开展了面向机关各科室及村（居）相关工作人员的政务公开专题培训，提升业务能力。定期开展自查与督查，对发现的问题及时督促整改，形成了有效的监督保障闭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二、主动公开政府信息情况</w:t>
      </w:r>
    </w:p>
    <w:tbl>
      <w:tblPr>
        <w:tblStyle w:val="5"/>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1532"/>
        <w:gridCol w:w="1542"/>
        <w:gridCol w:w="1542"/>
        <w:gridCol w:w="403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11415"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198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信息内容</w:t>
            </w:r>
          </w:p>
        </w:tc>
        <w:tc>
          <w:tcPr>
            <w:tcW w:w="19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本年制发件数</w:t>
            </w:r>
          </w:p>
        </w:tc>
        <w:tc>
          <w:tcPr>
            <w:tcW w:w="19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本年废止件数</w:t>
            </w:r>
          </w:p>
        </w:tc>
        <w:tc>
          <w:tcPr>
            <w:tcW w:w="4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198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规章</w:t>
            </w:r>
          </w:p>
        </w:tc>
        <w:tc>
          <w:tcPr>
            <w:tcW w:w="19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19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4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198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行政规范性文件</w:t>
            </w:r>
          </w:p>
        </w:tc>
        <w:tc>
          <w:tcPr>
            <w:tcW w:w="19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19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4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11415"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198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信息内容</w:t>
            </w:r>
          </w:p>
        </w:tc>
        <w:tc>
          <w:tcPr>
            <w:tcW w:w="922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198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行政许可</w:t>
            </w:r>
          </w:p>
        </w:tc>
        <w:tc>
          <w:tcPr>
            <w:tcW w:w="922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11415"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198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信息内容</w:t>
            </w:r>
          </w:p>
        </w:tc>
        <w:tc>
          <w:tcPr>
            <w:tcW w:w="922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198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行政处罚</w:t>
            </w:r>
          </w:p>
        </w:tc>
        <w:tc>
          <w:tcPr>
            <w:tcW w:w="922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198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行政强制</w:t>
            </w:r>
          </w:p>
        </w:tc>
        <w:tc>
          <w:tcPr>
            <w:tcW w:w="922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11415"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198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信息内容</w:t>
            </w:r>
          </w:p>
        </w:tc>
        <w:tc>
          <w:tcPr>
            <w:tcW w:w="922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198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行政事业性收费</w:t>
            </w:r>
          </w:p>
        </w:tc>
        <w:tc>
          <w:tcPr>
            <w:tcW w:w="910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三、收到和处理政府信息公开申请情况</w:t>
      </w:r>
    </w:p>
    <w:tbl>
      <w:tblPr>
        <w:tblStyle w:val="5"/>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601"/>
        <w:gridCol w:w="1246"/>
        <w:gridCol w:w="2278"/>
        <w:gridCol w:w="526"/>
        <w:gridCol w:w="401"/>
        <w:gridCol w:w="401"/>
        <w:gridCol w:w="474"/>
        <w:gridCol w:w="453"/>
        <w:gridCol w:w="909"/>
        <w:gridCol w:w="136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5100" w:type="dxa"/>
            <w:gridSpan w:val="3"/>
            <w:vMerge w:val="restart"/>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（本列数据的勾稽关系为：第一项加第二项之和，</w:t>
            </w:r>
          </w:p>
          <w:p>
            <w:pPr>
              <w:rPr>
                <w:rFonts w:hint="default" w:ascii="Times New Roman" w:hAnsi="Times New Roman" w:cs="Times New Roman"/>
              </w:rPr>
            </w:pPr>
            <w:r>
              <w:rPr>
                <w:rFonts w:hint="default" w:ascii="Times New Roman" w:hAnsi="Times New Roman" w:cs="Times New Roman"/>
              </w:rPr>
              <w:t>等于第三项加第四项之和）</w:t>
            </w:r>
          </w:p>
        </w:tc>
        <w:tc>
          <w:tcPr>
            <w:tcW w:w="5430" w:type="dxa"/>
            <w:gridSpan w:val="7"/>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5100" w:type="dxa"/>
            <w:gridSpan w:val="3"/>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600" w:type="dxa"/>
            <w:vMerge w:val="restart"/>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自然人</w:t>
            </w:r>
          </w:p>
        </w:tc>
        <w:tc>
          <w:tcPr>
            <w:tcW w:w="3000" w:type="dxa"/>
            <w:gridSpan w:val="5"/>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法人或其他组织</w:t>
            </w:r>
          </w:p>
        </w:tc>
        <w:tc>
          <w:tcPr>
            <w:tcW w:w="1815" w:type="dxa"/>
            <w:vMerge w:val="restart"/>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5100" w:type="dxa"/>
            <w:gridSpan w:val="3"/>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600"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商业企业</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科研机构</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社会公益组织</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法律服务机构</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其他</w:t>
            </w:r>
          </w:p>
        </w:tc>
        <w:tc>
          <w:tcPr>
            <w:tcW w:w="18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5100"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一、本年新收政府信息公开申请数量</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eastAsia" w:ascii="Times New Roman" w:hAnsi="Times New Roman" w:eastAsia="宋体" w:cs="Times New Roman"/>
                <w:lang w:eastAsia="zh-CN"/>
              </w:rPr>
            </w:pPr>
            <w:r>
              <w:rPr>
                <w:rFonts w:hint="eastAsia" w:ascii="Times New Roman" w:hAnsi="Times New Roman" w:cs="Times New Roman"/>
                <w:lang w:val="en-US" w:eastAsia="zh-CN"/>
              </w:rPr>
              <w:t>1</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eastAsia" w:ascii="Times New Roman" w:hAnsi="Times New Roman" w:eastAsia="宋体" w:cs="Times New Roman"/>
                <w:lang w:eastAsia="zh-CN"/>
              </w:rPr>
            </w:pPr>
            <w:r>
              <w:rPr>
                <w:rFonts w:hint="eastAsia" w:ascii="Times New Roman" w:hAnsi="Times New Roman" w:cs="Times New Roman"/>
                <w:lang w:val="en-US" w:eastAsia="zh-CN"/>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5100"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二、上年结转政府信息公开申请数量</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restart"/>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三、本年度办理结果</w:t>
            </w:r>
          </w:p>
        </w:tc>
        <w:tc>
          <w:tcPr>
            <w:tcW w:w="4500" w:type="dxa"/>
            <w:gridSpan w:val="2"/>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（一）予以公开</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eastAsia" w:ascii="Times New Roman" w:hAnsi="Times New Roman" w:eastAsia="宋体" w:cs="Times New Roman"/>
                <w:lang w:eastAsia="zh-CN"/>
              </w:rPr>
            </w:pPr>
            <w:r>
              <w:rPr>
                <w:rFonts w:hint="eastAsia" w:ascii="Times New Roman" w:hAnsi="Times New Roman" w:cs="Times New Roman"/>
                <w:lang w:val="en-US" w:eastAsia="zh-CN"/>
              </w:rPr>
              <w:t>1</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eastAsia" w:ascii="Times New Roman" w:hAnsi="Times New Roman" w:eastAsia="宋体" w:cs="Times New Roman"/>
                <w:lang w:eastAsia="zh-CN"/>
              </w:rPr>
            </w:pPr>
            <w:r>
              <w:rPr>
                <w:rFonts w:hint="eastAsia" w:ascii="Times New Roman" w:hAnsi="Times New Roman" w:cs="Times New Roman"/>
                <w:lang w:val="en-US" w:eastAsia="zh-CN"/>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4500" w:type="dxa"/>
            <w:gridSpan w:val="2"/>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（二）部分公开（区分处理的，只计这一情形，不计其他情形）</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1455" w:type="dxa"/>
            <w:vMerge w:val="restart"/>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（三）不予公开</w:t>
            </w:r>
          </w:p>
        </w:tc>
        <w:tc>
          <w:tcPr>
            <w:tcW w:w="304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1.属于国家秘密</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145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304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2.其他法律行政法规禁止公开</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145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304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3.危及“三安全一稳定”</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145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304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4.保护第三方合法权益</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145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304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5.属于三类内部事务信息</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145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304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6.属于四类过程性信息</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145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304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7.属于行政执法案卷</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145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304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8.属于行政查询事项</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1455" w:type="dxa"/>
            <w:vMerge w:val="restart"/>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（四）无法提供</w:t>
            </w:r>
          </w:p>
        </w:tc>
        <w:tc>
          <w:tcPr>
            <w:tcW w:w="304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1.本机关不掌握相关政府信息</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145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304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2.没有现成信息需要另行制作</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145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304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3.补正后申请内容仍不明确</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1455" w:type="dxa"/>
            <w:vMerge w:val="restart"/>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（五）不予处理</w:t>
            </w:r>
          </w:p>
        </w:tc>
        <w:tc>
          <w:tcPr>
            <w:tcW w:w="304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1.信访举报投诉类申请</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145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304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2.重复申请</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145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304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3.要求提供公开出版物</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145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304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4.无正当理由大量反复申请</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145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304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5.要求行政机关确认或重新</w:t>
            </w:r>
          </w:p>
          <w:p>
            <w:pPr>
              <w:rPr>
                <w:rFonts w:hint="default" w:ascii="Times New Roman" w:hAnsi="Times New Roman" w:cs="Times New Roman"/>
              </w:rPr>
            </w:pPr>
            <w:r>
              <w:rPr>
                <w:rFonts w:hint="default" w:ascii="Times New Roman" w:hAnsi="Times New Roman" w:cs="Times New Roman"/>
              </w:rPr>
              <w:t>出具已获取信息</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1455" w:type="dxa"/>
            <w:vMerge w:val="restart"/>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（六）其他处理</w:t>
            </w:r>
          </w:p>
        </w:tc>
        <w:tc>
          <w:tcPr>
            <w:tcW w:w="304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1.申请人无正当理由逾期不补正、行政机关不再处理其政府信息公开申请</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145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304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2.申请人逾期未按收费通知要求缴纳费用、行政机关不再处理其政府信息公开申请</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145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304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3.其他</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1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p>
        </w:tc>
        <w:tc>
          <w:tcPr>
            <w:tcW w:w="4500" w:type="dxa"/>
            <w:gridSpan w:val="2"/>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（七）总计</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eastAsia" w:ascii="Times New Roman" w:hAnsi="Times New Roman" w:eastAsia="宋体" w:cs="Times New Roman"/>
                <w:lang w:eastAsia="zh-CN"/>
              </w:rPr>
            </w:pPr>
            <w:r>
              <w:rPr>
                <w:rFonts w:hint="eastAsia" w:ascii="Times New Roman" w:hAnsi="Times New Roman" w:cs="Times New Roman"/>
                <w:lang w:val="en-US" w:eastAsia="zh-CN"/>
              </w:rPr>
              <w:t>1</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eastAsia" w:ascii="Times New Roman" w:hAnsi="Times New Roman" w:eastAsia="宋体" w:cs="Times New Roman"/>
                <w:lang w:eastAsia="zh-CN"/>
              </w:rPr>
            </w:pPr>
            <w:r>
              <w:rPr>
                <w:rFonts w:hint="eastAsia" w:ascii="Times New Roman" w:hAnsi="Times New Roman" w:cs="Times New Roman"/>
                <w:lang w:val="en-US" w:eastAsia="zh-CN"/>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5100"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四、结转下年度继续办理</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2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52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4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1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c>
          <w:tcPr>
            <w:tcW w:w="181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bottom"/>
          </w:tcPr>
          <w:p>
            <w:pPr>
              <w:rPr>
                <w:rFonts w:hint="default" w:ascii="Times New Roman" w:hAnsi="Times New Roman" w:cs="Times New Roman"/>
              </w:rPr>
            </w:pPr>
            <w:r>
              <w:rPr>
                <w:rFonts w:hint="default" w:ascii="Times New Roman" w:hAnsi="Times New Roman" w:cs="Times New Roman"/>
              </w:rPr>
              <w:t>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四、政府信息公开行政复议、行政诉讼情况 </w:t>
      </w:r>
    </w:p>
    <w:tbl>
      <w:tblPr>
        <w:tblStyle w:val="5"/>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675"/>
        <w:gridCol w:w="570"/>
        <w:gridCol w:w="660"/>
        <w:gridCol w:w="675"/>
        <w:gridCol w:w="405"/>
        <w:gridCol w:w="570"/>
        <w:gridCol w:w="570"/>
        <w:gridCol w:w="570"/>
        <w:gridCol w:w="570"/>
        <w:gridCol w:w="600"/>
        <w:gridCol w:w="570"/>
        <w:gridCol w:w="570"/>
        <w:gridCol w:w="600"/>
        <w:gridCol w:w="585"/>
        <w:gridCol w:w="36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2985" w:type="dxa"/>
            <w:gridSpan w:val="5"/>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行政复议</w:t>
            </w:r>
          </w:p>
        </w:tc>
        <w:tc>
          <w:tcPr>
            <w:tcW w:w="5520" w:type="dxa"/>
            <w:gridSpan w:val="10"/>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75" w:type="dxa"/>
            <w:vMerge w:val="restart"/>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r>
              <w:rPr>
                <w:rFonts w:hint="default" w:ascii="Times New Roman" w:hAnsi="Times New Roman" w:cs="Times New Roman"/>
              </w:rPr>
              <w:t>结果</w:t>
            </w:r>
          </w:p>
          <w:p>
            <w:pPr>
              <w:rPr>
                <w:rFonts w:hint="default" w:ascii="Times New Roman" w:hAnsi="Times New Roman" w:cs="Times New Roman"/>
              </w:rPr>
            </w:pPr>
            <w:r>
              <w:rPr>
                <w:rFonts w:hint="default" w:ascii="Times New Roman" w:hAnsi="Times New Roman" w:cs="Times New Roman"/>
              </w:rPr>
              <w:t>维持</w:t>
            </w:r>
          </w:p>
        </w:tc>
        <w:tc>
          <w:tcPr>
            <w:tcW w:w="570" w:type="dxa"/>
            <w:vMerge w:val="restart"/>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r>
              <w:rPr>
                <w:rFonts w:hint="default" w:ascii="Times New Roman" w:hAnsi="Times New Roman" w:cs="Times New Roman"/>
              </w:rPr>
              <w:t>结果</w:t>
            </w:r>
          </w:p>
          <w:p>
            <w:pPr>
              <w:rPr>
                <w:rFonts w:hint="default" w:ascii="Times New Roman" w:hAnsi="Times New Roman" w:cs="Times New Roman"/>
              </w:rPr>
            </w:pPr>
            <w:r>
              <w:rPr>
                <w:rFonts w:hint="default" w:ascii="Times New Roman" w:hAnsi="Times New Roman" w:cs="Times New Roman"/>
              </w:rPr>
              <w:t>纠正</w:t>
            </w:r>
          </w:p>
        </w:tc>
        <w:tc>
          <w:tcPr>
            <w:tcW w:w="660" w:type="dxa"/>
            <w:vMerge w:val="restart"/>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r>
              <w:rPr>
                <w:rFonts w:hint="default" w:ascii="Times New Roman" w:hAnsi="Times New Roman" w:cs="Times New Roman"/>
              </w:rPr>
              <w:t>其他</w:t>
            </w:r>
          </w:p>
          <w:p>
            <w:pPr>
              <w:rPr>
                <w:rFonts w:hint="default" w:ascii="Times New Roman" w:hAnsi="Times New Roman" w:cs="Times New Roman"/>
              </w:rPr>
            </w:pPr>
            <w:r>
              <w:rPr>
                <w:rFonts w:hint="default" w:ascii="Times New Roman" w:hAnsi="Times New Roman" w:cs="Times New Roman"/>
              </w:rPr>
              <w:t>结果</w:t>
            </w:r>
          </w:p>
        </w:tc>
        <w:tc>
          <w:tcPr>
            <w:tcW w:w="675" w:type="dxa"/>
            <w:vMerge w:val="restart"/>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r>
              <w:rPr>
                <w:rFonts w:hint="default" w:ascii="Times New Roman" w:hAnsi="Times New Roman" w:cs="Times New Roman"/>
              </w:rPr>
              <w:t>尚未</w:t>
            </w:r>
          </w:p>
          <w:p>
            <w:pPr>
              <w:rPr>
                <w:rFonts w:hint="default" w:ascii="Times New Roman" w:hAnsi="Times New Roman" w:cs="Times New Roman"/>
              </w:rPr>
            </w:pPr>
            <w:r>
              <w:rPr>
                <w:rFonts w:hint="default" w:ascii="Times New Roman" w:hAnsi="Times New Roman" w:cs="Times New Roman"/>
              </w:rPr>
              <w:t>审结</w:t>
            </w:r>
          </w:p>
        </w:tc>
        <w:tc>
          <w:tcPr>
            <w:tcW w:w="405" w:type="dxa"/>
            <w:vMerge w:val="restart"/>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r>
              <w:rPr>
                <w:rFonts w:hint="default" w:ascii="Times New Roman" w:hAnsi="Times New Roman" w:cs="Times New Roman"/>
              </w:rPr>
              <w:t>总</w:t>
            </w:r>
          </w:p>
          <w:p>
            <w:pPr>
              <w:rPr>
                <w:rFonts w:hint="default" w:ascii="Times New Roman" w:hAnsi="Times New Roman" w:cs="Times New Roman"/>
              </w:rPr>
            </w:pPr>
            <w:r>
              <w:rPr>
                <w:rFonts w:hint="default" w:ascii="Times New Roman" w:hAnsi="Times New Roman" w:cs="Times New Roman"/>
              </w:rPr>
              <w:t>计</w:t>
            </w:r>
          </w:p>
        </w:tc>
        <w:tc>
          <w:tcPr>
            <w:tcW w:w="2880" w:type="dxa"/>
            <w:gridSpan w:val="5"/>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r>
              <w:rPr>
                <w:rFonts w:hint="default" w:ascii="Times New Roman" w:hAnsi="Times New Roman" w:cs="Times New Roman"/>
              </w:rPr>
              <w:t>未经复议直接起诉</w:t>
            </w:r>
          </w:p>
        </w:tc>
        <w:tc>
          <w:tcPr>
            <w:tcW w:w="2625" w:type="dxa"/>
            <w:gridSpan w:val="5"/>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r>
              <w:rPr>
                <w:rFonts w:hint="default" w:ascii="Times New Roman" w:hAnsi="Times New Roman" w:cs="Times New Roman"/>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7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p>
        </w:tc>
        <w:tc>
          <w:tcPr>
            <w:tcW w:w="570"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p>
        </w:tc>
        <w:tc>
          <w:tcPr>
            <w:tcW w:w="660"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p>
        </w:tc>
        <w:tc>
          <w:tcPr>
            <w:tcW w:w="67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p>
        </w:tc>
        <w:tc>
          <w:tcPr>
            <w:tcW w:w="405"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p>
        </w:tc>
        <w:tc>
          <w:tcPr>
            <w:tcW w:w="57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r>
              <w:rPr>
                <w:rFonts w:hint="default" w:ascii="Times New Roman" w:hAnsi="Times New Roman" w:cs="Times New Roman"/>
              </w:rPr>
              <w:t>结果</w:t>
            </w:r>
          </w:p>
          <w:p>
            <w:pPr>
              <w:rPr>
                <w:rFonts w:hint="default" w:ascii="Times New Roman" w:hAnsi="Times New Roman" w:cs="Times New Roman"/>
              </w:rPr>
            </w:pPr>
            <w:r>
              <w:rPr>
                <w:rFonts w:hint="default" w:ascii="Times New Roman" w:hAnsi="Times New Roman" w:cs="Times New Roman"/>
              </w:rPr>
              <w:t>维持</w:t>
            </w:r>
          </w:p>
        </w:tc>
        <w:tc>
          <w:tcPr>
            <w:tcW w:w="57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r>
              <w:rPr>
                <w:rFonts w:hint="default" w:ascii="Times New Roman" w:hAnsi="Times New Roman" w:cs="Times New Roman"/>
              </w:rPr>
              <w:t>结果</w:t>
            </w:r>
          </w:p>
          <w:p>
            <w:pPr>
              <w:rPr>
                <w:rFonts w:hint="default" w:ascii="Times New Roman" w:hAnsi="Times New Roman" w:cs="Times New Roman"/>
              </w:rPr>
            </w:pPr>
            <w:r>
              <w:rPr>
                <w:rFonts w:hint="default" w:ascii="Times New Roman" w:hAnsi="Times New Roman" w:cs="Times New Roman"/>
              </w:rPr>
              <w:t>纠正</w:t>
            </w:r>
          </w:p>
        </w:tc>
        <w:tc>
          <w:tcPr>
            <w:tcW w:w="57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r>
              <w:rPr>
                <w:rFonts w:hint="default" w:ascii="Times New Roman" w:hAnsi="Times New Roman" w:cs="Times New Roman"/>
              </w:rPr>
              <w:t>其他</w:t>
            </w:r>
          </w:p>
          <w:p>
            <w:pPr>
              <w:rPr>
                <w:rFonts w:hint="default" w:ascii="Times New Roman" w:hAnsi="Times New Roman" w:cs="Times New Roman"/>
              </w:rPr>
            </w:pPr>
            <w:r>
              <w:rPr>
                <w:rFonts w:hint="default" w:ascii="Times New Roman" w:hAnsi="Times New Roman" w:cs="Times New Roman"/>
              </w:rPr>
              <w:t>结果</w:t>
            </w:r>
          </w:p>
        </w:tc>
        <w:tc>
          <w:tcPr>
            <w:tcW w:w="57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r>
              <w:rPr>
                <w:rFonts w:hint="default" w:ascii="Times New Roman" w:hAnsi="Times New Roman" w:cs="Times New Roman"/>
              </w:rPr>
              <w:t>尚未</w:t>
            </w:r>
          </w:p>
          <w:p>
            <w:pPr>
              <w:rPr>
                <w:rFonts w:hint="default" w:ascii="Times New Roman" w:hAnsi="Times New Roman" w:cs="Times New Roman"/>
              </w:rPr>
            </w:pPr>
            <w:r>
              <w:rPr>
                <w:rFonts w:hint="default" w:ascii="Times New Roman" w:hAnsi="Times New Roman" w:cs="Times New Roman"/>
              </w:rPr>
              <w:t>审结</w:t>
            </w:r>
          </w:p>
        </w:tc>
        <w:tc>
          <w:tcPr>
            <w:tcW w:w="57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r>
              <w:rPr>
                <w:rFonts w:hint="default" w:ascii="Times New Roman" w:hAnsi="Times New Roman" w:cs="Times New Roman"/>
              </w:rPr>
              <w:t>总</w:t>
            </w:r>
          </w:p>
          <w:p>
            <w:pPr>
              <w:rPr>
                <w:rFonts w:hint="default" w:ascii="Times New Roman" w:hAnsi="Times New Roman" w:cs="Times New Roman"/>
              </w:rPr>
            </w:pPr>
            <w:r>
              <w:rPr>
                <w:rFonts w:hint="default" w:ascii="Times New Roman" w:hAnsi="Times New Roman" w:cs="Times New Roman"/>
              </w:rPr>
              <w:t>计</w:t>
            </w:r>
          </w:p>
        </w:tc>
        <w:tc>
          <w:tcPr>
            <w:tcW w:w="57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r>
              <w:rPr>
                <w:rFonts w:hint="default" w:ascii="Times New Roman" w:hAnsi="Times New Roman" w:cs="Times New Roman"/>
              </w:rPr>
              <w:t>结果</w:t>
            </w:r>
          </w:p>
          <w:p>
            <w:pPr>
              <w:rPr>
                <w:rFonts w:hint="default" w:ascii="Times New Roman" w:hAnsi="Times New Roman" w:cs="Times New Roman"/>
              </w:rPr>
            </w:pPr>
            <w:r>
              <w:rPr>
                <w:rFonts w:hint="default" w:ascii="Times New Roman" w:hAnsi="Times New Roman" w:cs="Times New Roman"/>
              </w:rPr>
              <w:t>维持</w:t>
            </w:r>
          </w:p>
        </w:tc>
        <w:tc>
          <w:tcPr>
            <w:tcW w:w="57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r>
              <w:rPr>
                <w:rFonts w:hint="default" w:ascii="Times New Roman" w:hAnsi="Times New Roman" w:cs="Times New Roman"/>
              </w:rPr>
              <w:t>结果</w:t>
            </w:r>
          </w:p>
          <w:p>
            <w:pPr>
              <w:rPr>
                <w:rFonts w:hint="default" w:ascii="Times New Roman" w:hAnsi="Times New Roman" w:cs="Times New Roman"/>
              </w:rPr>
            </w:pPr>
            <w:r>
              <w:rPr>
                <w:rFonts w:hint="default" w:ascii="Times New Roman" w:hAnsi="Times New Roman" w:cs="Times New Roman"/>
              </w:rPr>
              <w:t>纠正</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r>
              <w:rPr>
                <w:rFonts w:hint="default" w:ascii="Times New Roman" w:hAnsi="Times New Roman" w:cs="Times New Roman"/>
              </w:rPr>
              <w:t>其他</w:t>
            </w:r>
          </w:p>
          <w:p>
            <w:pPr>
              <w:rPr>
                <w:rFonts w:hint="default" w:ascii="Times New Roman" w:hAnsi="Times New Roman" w:cs="Times New Roman"/>
              </w:rPr>
            </w:pPr>
            <w:r>
              <w:rPr>
                <w:rFonts w:hint="default" w:ascii="Times New Roman" w:hAnsi="Times New Roman" w:cs="Times New Roman"/>
              </w:rPr>
              <w:t>结果</w:t>
            </w:r>
          </w:p>
        </w:tc>
        <w:tc>
          <w:tcPr>
            <w:tcW w:w="58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r>
              <w:rPr>
                <w:rFonts w:hint="default" w:ascii="Times New Roman" w:hAnsi="Times New Roman" w:cs="Times New Roman"/>
              </w:rPr>
              <w:t>尚未</w:t>
            </w:r>
          </w:p>
          <w:p>
            <w:pPr>
              <w:rPr>
                <w:rFonts w:hint="default" w:ascii="Times New Roman" w:hAnsi="Times New Roman" w:cs="Times New Roman"/>
              </w:rPr>
            </w:pPr>
            <w:r>
              <w:rPr>
                <w:rFonts w:hint="default" w:ascii="Times New Roman" w:hAnsi="Times New Roman" w:cs="Times New Roman"/>
              </w:rPr>
              <w:t>审结</w:t>
            </w:r>
          </w:p>
        </w:tc>
        <w:tc>
          <w:tcPr>
            <w:tcW w:w="3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top"/>
          </w:tcPr>
          <w:p>
            <w:pPr>
              <w:rPr>
                <w:rFonts w:hint="default" w:ascii="Times New Roman" w:hAnsi="Times New Roman" w:cs="Times New Roman"/>
              </w:rPr>
            </w:pPr>
            <w:r>
              <w:rPr>
                <w:rFonts w:hint="default" w:ascii="Times New Roman" w:hAnsi="Times New Roman" w:cs="Times New Roman"/>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67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57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66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67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40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57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57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57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57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57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57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57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6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58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c>
          <w:tcPr>
            <w:tcW w:w="30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rPr>
                <w:rFonts w:hint="default" w:ascii="Times New Roman" w:hAnsi="Times New Roman" w:cs="Times New Roman"/>
              </w:rPr>
            </w:pPr>
            <w:r>
              <w:rPr>
                <w:rFonts w:hint="default" w:ascii="Times New Roman" w:hAnsi="Times New Roman" w:cs="Times New Roman"/>
              </w:rPr>
              <w:t>0</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一是部门间信息协同效率有待提升。 </w:t>
      </w:r>
      <w:r>
        <w:rPr>
          <w:rFonts w:hint="default" w:ascii="Times New Roman" w:hAnsi="Times New Roman" w:eastAsia="仿宋_GB2312" w:cs="Times New Roman"/>
          <w:sz w:val="32"/>
          <w:szCs w:val="32"/>
          <w:lang w:eastAsia="zh-CN"/>
        </w:rPr>
        <w:t>部分业务领域信息产生与公开环节的衔接不够紧密，存在信息共享不及时、公开内容整合度不高等现象，系统性协同机制仍需巩固加强。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二是公开形式创新与精准服务能力需进一步增强。 </w:t>
      </w:r>
      <w:r>
        <w:rPr>
          <w:rFonts w:hint="default" w:ascii="Times New Roman" w:hAnsi="Times New Roman" w:eastAsia="仿宋_GB2312" w:cs="Times New Roman"/>
          <w:sz w:val="32"/>
          <w:szCs w:val="32"/>
          <w:lang w:eastAsia="zh-CN"/>
        </w:rPr>
        <w:t>尽管已尝试拓展公开形式，但运用政务新媒体、可视化产品等进行深度解读和互动传播的实践仍显不足，与群众日益增长的便捷化、个性化信息获取需求相比，尚有提升空间</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收取信息处理费</w:t>
      </w:r>
      <w:r>
        <w:rPr>
          <w:rFonts w:hint="default" w:ascii="Times New Roman" w:hAnsi="Times New Roman" w:eastAsia="仿宋_GB2312" w:cs="Times New Roman"/>
          <w:sz w:val="32"/>
          <w:szCs w:val="32"/>
          <w:lang w:eastAsia="zh-CN"/>
        </w:rPr>
        <w:t>情况。</w:t>
      </w:r>
      <w:r>
        <w:rPr>
          <w:rFonts w:hint="default" w:ascii="Times New Roman" w:hAnsi="Times New Roman" w:eastAsia="仿宋_GB2312" w:cs="Times New Roman"/>
          <w:sz w:val="32"/>
          <w:szCs w:val="32"/>
        </w:rPr>
        <w:t>本年度政府信息公开申请处理均未达到《政府信息公开信息处理费管理办法》规定的收费标准，未收取信息处理费。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落实上级年度政务公开工作要点情况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紧紧围绕</w:t>
      </w:r>
      <w:r>
        <w:rPr>
          <w:rFonts w:hint="default" w:ascii="Times New Roman" w:hAnsi="Times New Roman" w:eastAsia="仿宋_GB2312" w:cs="Times New Roman"/>
          <w:sz w:val="32"/>
          <w:szCs w:val="32"/>
          <w:lang w:eastAsia="zh-CN"/>
        </w:rPr>
        <w:t>上级</w:t>
      </w:r>
      <w:r>
        <w:rPr>
          <w:rFonts w:hint="default" w:ascii="Times New Roman" w:hAnsi="Times New Roman" w:eastAsia="仿宋_GB2312" w:cs="Times New Roman"/>
          <w:sz w:val="32"/>
          <w:szCs w:val="32"/>
        </w:rPr>
        <w:t>2025年政务公开工作部署，聚焦优化营商环境、保障改善民生、防范化解风险等重点领域，及时、准确地公开了相关政策措施、执行情况和工作成效，有效保障了公众的知情权、参与权和监督权。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人大代表建议和政协提案办理情况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2025年，临城街道</w:t>
      </w:r>
      <w:r>
        <w:rPr>
          <w:rFonts w:hint="default" w:ascii="Times New Roman" w:hAnsi="Times New Roman" w:eastAsia="仿宋_GB2312" w:cs="Times New Roman"/>
          <w:sz w:val="32"/>
          <w:szCs w:val="32"/>
          <w:lang w:val="en-US" w:eastAsia="zh-CN"/>
        </w:rPr>
        <w:t>承办</w:t>
      </w:r>
      <w:r>
        <w:rPr>
          <w:rFonts w:hint="default" w:ascii="Times New Roman" w:hAnsi="Times New Roman" w:eastAsia="仿宋_GB2312" w:cs="Times New Roman"/>
          <w:sz w:val="32"/>
          <w:szCs w:val="32"/>
        </w:rPr>
        <w:t>区级人大建议</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件</w:t>
      </w:r>
      <w:r>
        <w:rPr>
          <w:rFonts w:hint="default" w:ascii="Times New Roman" w:hAnsi="Times New Roman" w:eastAsia="仿宋_GB2312" w:cs="Times New Roman"/>
          <w:sz w:val="32"/>
          <w:szCs w:val="32"/>
          <w:lang w:eastAsia="zh-CN"/>
        </w:rPr>
        <w:t>，内容涉及社区建设；</w:t>
      </w:r>
      <w:r>
        <w:rPr>
          <w:rFonts w:hint="default" w:ascii="Times New Roman" w:hAnsi="Times New Roman" w:eastAsia="仿宋_GB2312" w:cs="Times New Roman"/>
          <w:sz w:val="32"/>
          <w:szCs w:val="32"/>
        </w:rPr>
        <w:t>区级政协提案1件，涉及</w:t>
      </w:r>
      <w:r>
        <w:rPr>
          <w:rFonts w:hint="default" w:ascii="Times New Roman" w:hAnsi="Times New Roman" w:eastAsia="仿宋_GB2312" w:cs="Times New Roman"/>
          <w:sz w:val="32"/>
          <w:szCs w:val="32"/>
          <w:lang w:eastAsia="zh-CN"/>
        </w:rPr>
        <w:t>社区治理问题。</w:t>
      </w:r>
      <w:r>
        <w:rPr>
          <w:rFonts w:hint="default" w:ascii="Times New Roman" w:hAnsi="Times New Roman" w:eastAsia="仿宋_GB2312" w:cs="Times New Roman"/>
          <w:sz w:val="32"/>
          <w:szCs w:val="32"/>
        </w:rPr>
        <w:t>所有建议提案均已按期办结，办复率100%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承办市级人大建议0件，市级政协提案4件，内容涉及基层文化、图书馆建设、便民市场建设等，截至目前所有提案均已办结，办复率100%。相关办理结果</w:t>
      </w:r>
      <w:r>
        <w:rPr>
          <w:rFonts w:hint="default" w:ascii="Times New Roman" w:hAnsi="Times New Roman" w:eastAsia="仿宋_GB2312" w:cs="Times New Roman"/>
          <w:sz w:val="32"/>
          <w:szCs w:val="32"/>
          <w:lang w:eastAsia="zh-CN"/>
        </w:rPr>
        <w:t>均</w:t>
      </w:r>
      <w:r>
        <w:rPr>
          <w:rFonts w:hint="default" w:ascii="Times New Roman" w:hAnsi="Times New Roman" w:eastAsia="仿宋_GB2312" w:cs="Times New Roman"/>
          <w:sz w:val="32"/>
          <w:szCs w:val="32"/>
        </w:rPr>
        <w:t>已通过政府门户网站向社会公开。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 政务公开创新情况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续推进政务公开向基层延伸，在规范村（居）务公开栏的基础上，结合新时代文明实践活动，探索开展了“政策宣讲进社区”“公开事项大家议”等互动式、场景化的公开形式，将政策解读与文化惠民相结合，增强了公开的实效性和群众的获得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本单位政府信息公开工作年度报告数据统计需要说明的事项：无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其他有关文件专门要求通过政府信息公开工作年度报告予以报告的事项：无</w:t>
      </w:r>
    </w:p>
    <w:p>
      <w:pPr>
        <w:keepNext w:val="0"/>
        <w:keepLines w:val="0"/>
        <w:pageBreakBefore w:val="0"/>
        <w:widowControl w:val="0"/>
        <w:kinsoku/>
        <w:wordWrap/>
        <w:overflowPunct/>
        <w:topLinePunct w:val="0"/>
        <w:autoSpaceDE/>
        <w:autoSpaceDN/>
        <w:bidi w:val="0"/>
        <w:adjustRightInd/>
        <w:snapToGrid/>
        <w:ind w:firstLine="5120" w:firstLineChars="1600"/>
        <w:jc w:val="left"/>
        <w:textAlignment w:val="auto"/>
        <w:rPr>
          <w:rFonts w:hint="default" w:ascii="Times New Roman" w:hAnsi="Times New Roman" w:eastAsia="仿宋_GB2312" w:cs="Times New Roman"/>
          <w:sz w:val="32"/>
          <w:szCs w:val="32"/>
        </w:rPr>
      </w:pPr>
    </w:p>
    <w:sectPr>
      <w:footerReference r:id="rId3" w:type="default"/>
      <w:pgSz w:w="11906" w:h="16838"/>
      <w:pgMar w:top="1701" w:right="1701" w:bottom="1701" w:left="1701" w:header="1134"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283" w:usb1="288F0000" w:usb2="00000006" w:usb3="00000000" w:csb0="00040001" w:csb1="00000000"/>
  </w:font>
  <w:font w:name="sans-serif">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7803"/>
    <w:rsid w:val="01623198"/>
    <w:rsid w:val="05740CFC"/>
    <w:rsid w:val="08EB30F3"/>
    <w:rsid w:val="15FC2B6A"/>
    <w:rsid w:val="19FB6461"/>
    <w:rsid w:val="289F16FB"/>
    <w:rsid w:val="2C053475"/>
    <w:rsid w:val="2DB046EE"/>
    <w:rsid w:val="2ED474AA"/>
    <w:rsid w:val="2F7D26D2"/>
    <w:rsid w:val="2F8E61B2"/>
    <w:rsid w:val="330D1551"/>
    <w:rsid w:val="338B62B7"/>
    <w:rsid w:val="3A6A0699"/>
    <w:rsid w:val="3FB9315B"/>
    <w:rsid w:val="4AAC0472"/>
    <w:rsid w:val="4BF72871"/>
    <w:rsid w:val="4D526DC8"/>
    <w:rsid w:val="4F831650"/>
    <w:rsid w:val="577A0E32"/>
    <w:rsid w:val="5A69596D"/>
    <w:rsid w:val="5EE17A4E"/>
    <w:rsid w:val="60EE1DEF"/>
    <w:rsid w:val="6BAF48A9"/>
    <w:rsid w:val="6C5775A1"/>
    <w:rsid w:val="723B08A8"/>
    <w:rsid w:val="73DA2B64"/>
    <w:rsid w:val="78D66CEF"/>
    <w:rsid w:val="7A7037D4"/>
    <w:rsid w:val="7EFF785F"/>
    <w:rsid w:val="7FAD701D"/>
    <w:rsid w:val="7FBB2D30"/>
    <w:rsid w:val="7FFF84C1"/>
    <w:rsid w:val="867A3CE0"/>
    <w:rsid w:val="BAEE701F"/>
    <w:rsid w:val="BDECE573"/>
    <w:rsid w:val="BF3F3893"/>
    <w:rsid w:val="BF9EC056"/>
    <w:rsid w:val="C337F429"/>
    <w:rsid w:val="C7BBB6F7"/>
    <w:rsid w:val="EFC3B405"/>
    <w:rsid w:val="FBFBC48D"/>
    <w:rsid w:val="FEFF3236"/>
    <w:rsid w:val="FF7F9596"/>
    <w:rsid w:val="FFDD9C47"/>
    <w:rsid w:val="FFDF7D36"/>
    <w:rsid w:val="FFFF8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2658</Words>
  <Characters>2814</Characters>
  <Lines>0</Lines>
  <Paragraphs>0</Paragraphs>
  <TotalTime>34</TotalTime>
  <ScaleCrop>false</ScaleCrop>
  <LinksUpToDate>false</LinksUpToDate>
  <CharactersWithSpaces>2827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2026-01-07T14:45:00Z</dcterms:created>
  <dc:creator>Administrator</dc:creator>
  <cp:lastModifiedBy>user</cp:lastModifiedBy>
  <dcterms:modified xsi:type="dcterms:W3CDTF">2026-01-21T14:26:56Z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eyJoZGlkIjoiMTQ5MzA2NWM3NzE0Nzc4OThjNmNjMjVkNjRmOWRjMGQifQ==</vt:lpwstr>
  </property>
  <property fmtid="{D5CDD505-2E9C-101B-9397-08002B2CF9AE}" pid="4" name="ICV">
    <vt:lpwstr>C8AE530DEBE440329AB44DB7F0DD5B8B_12</vt:lpwstr>
  </property>
</Properties>
</file>