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560" w:lineRule="exact"/>
        <w:ind w:left="0" w:right="0" w:firstLine="0"/>
        <w:jc w:val="center"/>
        <w:textAlignment w:val="auto"/>
        <w:rPr>
          <w:rStyle w:val="8"/>
          <w:rFonts w:hint="eastAsia" w:ascii="方正小标宋简体" w:hAnsi="方正小标宋简体" w:eastAsia="方正小标宋简体" w:cs="方正小标宋简体"/>
          <w:b w:val="0"/>
          <w:bCs w:val="0"/>
          <w:i w:val="0"/>
          <w:iCs w:val="0"/>
          <w:caps w:val="0"/>
          <w:color w:val="0F1115"/>
          <w:spacing w:val="0"/>
          <w:sz w:val="44"/>
          <w:szCs w:val="44"/>
          <w:shd w:val="clear" w:fill="FFFFFF"/>
        </w:rPr>
      </w:pPr>
      <w:r>
        <w:rPr>
          <w:rStyle w:val="8"/>
          <w:rFonts w:hint="eastAsia" w:ascii="方正小标宋简体" w:hAnsi="方正小标宋简体" w:eastAsia="方正小标宋简体" w:cs="方正小标宋简体"/>
          <w:b w:val="0"/>
          <w:bCs w:val="0"/>
          <w:i w:val="0"/>
          <w:iCs w:val="0"/>
          <w:caps w:val="0"/>
          <w:color w:val="0F1115"/>
          <w:spacing w:val="0"/>
          <w:sz w:val="44"/>
          <w:szCs w:val="44"/>
          <w:shd w:val="clear" w:fill="FFFFFF"/>
          <w:lang w:eastAsia="zh-CN"/>
        </w:rPr>
        <w:t>薛城区</w:t>
      </w:r>
      <w:r>
        <w:rPr>
          <w:rStyle w:val="8"/>
          <w:rFonts w:hint="eastAsia" w:ascii="方正小标宋简体" w:hAnsi="方正小标宋简体" w:eastAsia="方正小标宋简体" w:cs="方正小标宋简体"/>
          <w:b w:val="0"/>
          <w:bCs w:val="0"/>
          <w:i w:val="0"/>
          <w:iCs w:val="0"/>
          <w:caps w:val="0"/>
          <w:color w:val="0F1115"/>
          <w:spacing w:val="0"/>
          <w:sz w:val="44"/>
          <w:szCs w:val="44"/>
          <w:shd w:val="clear" w:fill="FFFFFF"/>
        </w:rPr>
        <w:t>周营镇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240" w:lineRule="auto"/>
        <w:ind w:left="0" w:right="0" w:firstLine="0"/>
        <w:jc w:val="center"/>
        <w:textAlignment w:val="auto"/>
        <w:rPr>
          <w:rFonts w:hint="default" w:ascii="Times New Roman" w:hAnsi="Times New Roman" w:eastAsia="仿宋_GB2312" w:cs="Times New Roman"/>
          <w:kern w:val="2"/>
          <w:sz w:val="32"/>
          <w:szCs w:val="32"/>
          <w:lang w:val="en-US" w:eastAsia="zh-CN" w:bidi="ar-SA"/>
        </w:rPr>
      </w:pPr>
      <w:r>
        <w:rPr>
          <w:rStyle w:val="8"/>
          <w:rFonts w:hint="eastAsia" w:ascii="方正小标宋简体" w:hAnsi="方正小标宋简体" w:eastAsia="方正小标宋简体" w:cs="方正小标宋简体"/>
          <w:b w:val="0"/>
          <w:bCs w:val="0"/>
          <w:i w:val="0"/>
          <w:iCs w:val="0"/>
          <w:caps w:val="0"/>
          <w:color w:val="0F1115"/>
          <w:spacing w:val="0"/>
          <w:sz w:val="44"/>
          <w:szCs w:val="44"/>
          <w:shd w:val="clear" w:fill="FFFFFF"/>
        </w:rPr>
        <w:t>2025年政府信息公开工作年度报告</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报告根据《中华人民共和国政府信息公开条例》及国务院办公厅《关于印发〈中华人民共和国政府信息公开工作年度报告格式〉的通知》（国办公开办函〔2021〕30号）要求编制。报告全面总结了2025年度周营镇政府信息公开工作情况，涵盖总体情况、主动公开政府信息情况、收到和处理政府信息公开申请情况、政府信息公开行政复议和行政诉讼情况、政府信息公开工作存在的主要问题及改进情况、其他需要报告的事项等六个部分。数据统计期限为2025年1月1日至12月31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微软雅黑" w:cs="微软雅黑"/>
          <w:kern w:val="2"/>
          <w:sz w:val="32"/>
          <w:szCs w:val="32"/>
          <w:highlight w:val="none"/>
          <w:lang w:val="en-US" w:eastAsia="zh-CN" w:bidi="ar-SA"/>
        </w:rPr>
      </w:pPr>
      <w:r>
        <w:rPr>
          <w:rFonts w:hint="eastAsia" w:ascii="微软雅黑" w:hAnsi="微软雅黑" w:eastAsia="微软雅黑" w:cs="微软雅黑"/>
          <w:kern w:val="2"/>
          <w:sz w:val="32"/>
          <w:szCs w:val="32"/>
          <w:highlight w:val="none"/>
          <w:lang w:val="en-US" w:eastAsia="zh-CN" w:bidi="ar-SA"/>
        </w:rPr>
        <w:t>一、总体情况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2025年，周营镇坚持以人民为中心的发展思想，认真贯彻落实国家、省、市、区关于全面推进政务公开的决策部署，以提升政府治理能力和服务水平为目标，持续深化政务公开工作。我镇以制度建设为抓手，以平台建设为支撑，以监督考核为保障，推动政府信息应公开尽公开，切实保障人民群众的知情权、参与权、表达权和监督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（一）主动公开情况。</w:t>
      </w:r>
      <w:r>
        <w:rPr>
          <w:rFonts w:hint="default" w:ascii="Times New Roman" w:hAnsi="Times New Roman" w:eastAsia="仿宋_GB2312" w:cs="Times New Roman"/>
          <w:kern w:val="2"/>
          <w:sz w:val="32"/>
          <w:szCs w:val="32"/>
          <w:lang w:val="en-US" w:eastAsia="zh-CN" w:bidi="ar-SA"/>
        </w:rPr>
        <w:t>我镇聚焦重点领域，扎实推进决策、执行、管理、服务、结果“五公开”。全年通过政府门户网站主动公开各类政府信息24条，内容涵盖乡村振兴、社会保障、惠农政策、重大建设项目、公共服务等领域,有效</w:t>
      </w:r>
      <w:r>
        <w:rPr>
          <w:rFonts w:hint="default" w:ascii="Times New Roman" w:hAnsi="Times New Roman" w:eastAsia="仿宋_GB2312" w:cs="Times New Roman"/>
          <w:kern w:val="2"/>
          <w:sz w:val="32"/>
          <w:szCs w:val="32"/>
          <w:highlight w:val="none"/>
          <w:lang w:val="en-US" w:eastAsia="zh-CN" w:bidi="ar-SA"/>
        </w:rPr>
        <w:t>提升了政策透明度和公众知晓度。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楷体_GB2312" w:hAnsi="楷体_GB2312" w:eastAsia="楷体_GB2312" w:cs="楷体_GB2312"/>
          <w:kern w:val="2"/>
          <w:sz w:val="32"/>
          <w:szCs w:val="32"/>
          <w:highlight w:val="none"/>
          <w:lang w:val="en-US" w:eastAsia="zh-CN" w:bidi="ar-SA"/>
        </w:rPr>
        <w:t>（二）依申请公开情况。</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全年共收到政府信息依申请公开1件，已按要求予以答复。全年未发生因政府信息公开申请引发的行政复议或行政诉讼。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（三）政府信息管理情况。</w:t>
      </w:r>
      <w:r>
        <w:rPr>
          <w:rFonts w:hint="default" w:ascii="Times New Roman" w:hAnsi="Times New Roman" w:eastAsia="仿宋_GB2312" w:cs="Times New Roman"/>
          <w:kern w:val="2"/>
          <w:sz w:val="32"/>
          <w:szCs w:val="32"/>
          <w:lang w:val="en-US" w:eastAsia="zh-CN" w:bidi="ar-SA"/>
        </w:rPr>
        <w:t>建立健全政府信息全周期管理制度，完善信息发布审核、保密审查、动态更新机制。全面梳理并动态更新镇级行政规范性文件库、政策文件库、公共服务事项清单等，推进政府信息资源的标准化、规范化管理。加强政务新媒体监管，确保信息发布准确、权威、及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kern w:val="2"/>
          <w:sz w:val="32"/>
          <w:szCs w:val="32"/>
          <w:lang w:val="en-US" w:eastAsia="zh-CN" w:bidi="ar-SA"/>
        </w:rPr>
        <w:t>（四）政府信息公开平台建设。</w:t>
      </w:r>
      <w:r>
        <w:rPr>
          <w:rFonts w:hint="default" w:ascii="Times New Roman" w:hAnsi="Times New Roman" w:eastAsia="仿宋_GB2312" w:cs="Times New Roman"/>
          <w:kern w:val="2"/>
          <w:sz w:val="32"/>
          <w:szCs w:val="32"/>
          <w:lang w:val="en-US" w:eastAsia="zh-CN" w:bidi="ar-SA"/>
        </w:rPr>
        <w:t>周营镇坚持以政务公开为抓手，围绕“规范、便民、实效”目标，统筹推进平台建设、内容管理和渠道拓展。以区政府门户网站为主阵地，优化专栏设置和检索功能，提升信息发布质量和查询效率。严格落实信息发布审核机制，强化政策解读和办事服务信息公开，确保内容权威准确。推动形成“线上新媒体矩阵+线下公开专区”联动格局，通过镇村服务窗口、公示栏和专题活动等多渠道开展政策宣传。持续开展常态化政策宣讲和互动服务，着力提升政务公开的覆盖深度和服务效能，让政府信息更好地惠及基层群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kern w:val="2"/>
          <w:sz w:val="32"/>
          <w:szCs w:val="32"/>
          <w:lang w:val="en-US" w:eastAsia="zh-CN" w:bidi="ar-SA"/>
        </w:rPr>
        <w:t>（五）监督保障</w:t>
      </w:r>
      <w:r>
        <w:rPr>
          <w:rFonts w:hint="eastAsia" w:ascii="楷体_GB2312" w:hAnsi="楷体_GB2312" w:eastAsia="楷体_GB2312" w:cs="楷体_GB2312"/>
          <w:kern w:val="2"/>
          <w:sz w:val="32"/>
          <w:szCs w:val="32"/>
          <w:lang w:val="en-US" w:eastAsia="zh-CN" w:bidi="ar-SA"/>
        </w:rPr>
        <w:t>情况</w:t>
      </w:r>
      <w:r>
        <w:rPr>
          <w:rFonts w:hint="default" w:ascii="楷体_GB2312" w:hAnsi="楷体_GB2312" w:eastAsia="楷体_GB2312" w:cs="楷体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将政务公开工作纳入镇年度目标责任考核体系，定期开展专项督查。组织召开全镇政务公开工作培训会2次，提升工作人员业务能力。畅通社会监督渠道，公布监督电话和邮箱，主动接受人大代表、政协委员、新闻媒体和人民群众的监督评议。建立政务公开工作问题整改台账，对发现的问题立行立改，确保各项工作落到实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二、主动公开政府信息情况</w:t>
      </w:r>
    </w:p>
    <w:tbl>
      <w:tblPr>
        <w:tblStyle w:val="6"/>
        <w:tblW w:w="9920" w:type="dxa"/>
        <w:tblInd w:w="-306" w:type="dxa"/>
        <w:tblLayout w:type="fixed"/>
        <w:tblCellMar>
          <w:top w:w="0" w:type="dxa"/>
          <w:left w:w="108" w:type="dxa"/>
          <w:bottom w:w="0" w:type="dxa"/>
          <w:right w:w="108" w:type="dxa"/>
        </w:tblCellMar>
      </w:tblPr>
      <w:tblGrid>
        <w:gridCol w:w="2513"/>
        <w:gridCol w:w="2206"/>
        <w:gridCol w:w="2206"/>
        <w:gridCol w:w="2995"/>
      </w:tblGrid>
      <w:tr>
        <w:tblPrEx>
          <w:tblCellMar>
            <w:top w:w="0" w:type="dxa"/>
            <w:left w:w="108" w:type="dxa"/>
            <w:bottom w:w="0" w:type="dxa"/>
            <w:right w:w="108" w:type="dxa"/>
          </w:tblCellMar>
        </w:tblPrEx>
        <w:trPr>
          <w:trHeight w:val="645" w:hRule="atLeast"/>
        </w:trPr>
        <w:tc>
          <w:tcPr>
            <w:tcW w:w="99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99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99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99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645" w:hRule="atLeast"/>
        </w:trPr>
        <w:tc>
          <w:tcPr>
            <w:tcW w:w="99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740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740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645" w:hRule="atLeast"/>
        </w:trPr>
        <w:tc>
          <w:tcPr>
            <w:tcW w:w="99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740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740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auto"/>
                <w:kern w:val="0"/>
                <w:szCs w:val="21"/>
                <w:lang w:val="en-US" w:eastAsia="zh-CN"/>
              </w:rPr>
              <w:t>18</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740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val="en"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645" w:hRule="atLeast"/>
        </w:trPr>
        <w:tc>
          <w:tcPr>
            <w:tcW w:w="99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7407" w:type="dxa"/>
            <w:gridSpan w:val="3"/>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645" w:hRule="atLeast"/>
        </w:trPr>
        <w:tc>
          <w:tcPr>
            <w:tcW w:w="2513"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740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bl>
    <w:p>
      <w:pPr>
        <w:pStyle w:val="2"/>
        <w:rPr>
          <w:rFonts w:hint="default"/>
          <w:lang w:val="en-US" w:eastAsia="zh-CN"/>
        </w:rPr>
      </w:pPr>
    </w:p>
    <w:p>
      <w:pPr>
        <w:widowControl/>
        <w:numPr>
          <w:ilvl w:val="0"/>
          <w:numId w:val="0"/>
        </w:numPr>
        <w:jc w:val="left"/>
        <w:rPr>
          <w:rFonts w:hint="default" w:ascii="Times New Roman" w:hAnsi="Times New Roman" w:eastAsia="黑体" w:cs="Times New Roman"/>
          <w:color w:val="auto"/>
          <w:kern w:val="0"/>
          <w:sz w:val="32"/>
          <w:szCs w:val="32"/>
          <w:lang w:eastAsia="zh-CN"/>
        </w:rPr>
      </w:pPr>
    </w:p>
    <w:p>
      <w:pPr>
        <w:widowControl/>
        <w:numPr>
          <w:ilvl w:val="0"/>
          <w:numId w:val="0"/>
        </w:numPr>
        <w:jc w:val="left"/>
        <w:rPr>
          <w:rFonts w:hint="default" w:ascii="Times New Roman" w:hAnsi="Times New Roman" w:eastAsia="宋体" w:cs="Times New Roman"/>
          <w:color w:val="auto"/>
          <w:kern w:val="0"/>
          <w:sz w:val="20"/>
          <w:szCs w:val="20"/>
        </w:rPr>
      </w:pPr>
      <w:r>
        <w:rPr>
          <w:rFonts w:hint="default" w:ascii="Times New Roman" w:hAnsi="Times New Roman" w:eastAsia="黑体" w:cs="Times New Roman"/>
          <w:color w:val="auto"/>
          <w:kern w:val="0"/>
          <w:sz w:val="32"/>
          <w:szCs w:val="32"/>
          <w:lang w:eastAsia="zh-CN"/>
        </w:rPr>
        <w:t>三、</w:t>
      </w:r>
      <w:r>
        <w:rPr>
          <w:rFonts w:hint="default" w:ascii="Times New Roman" w:hAnsi="Times New Roman" w:eastAsia="黑体" w:cs="Times New Roman"/>
          <w:color w:val="auto"/>
          <w:kern w:val="0"/>
          <w:sz w:val="32"/>
          <w:szCs w:val="32"/>
        </w:rPr>
        <w:t>收到和处理政府信息公开申请情况</w:t>
      </w:r>
    </w:p>
    <w:tbl>
      <w:tblPr>
        <w:tblStyle w:val="6"/>
        <w:tblpPr w:leftFromText="180" w:rightFromText="180" w:vertAnchor="text" w:horzAnchor="page" w:tblpX="1457" w:tblpY="618"/>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820"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rPr>
            </w:pPr>
          </w:p>
        </w:tc>
        <w:tc>
          <w:tcPr>
            <w:tcW w:w="829"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85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rPr>
            </w:pPr>
          </w:p>
        </w:tc>
        <w:tc>
          <w:tcPr>
            <w:tcW w:w="829"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85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210" w:firstLineChars="10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bl>
    <w:p>
      <w:pPr>
        <w:widowControl/>
        <w:ind w:firstLine="640" w:firstLineChars="200"/>
        <w:jc w:val="left"/>
        <w:rPr>
          <w:rFonts w:hint="default" w:ascii="Times New Roman" w:hAnsi="Times New Roman" w:eastAsia="宋体" w:cs="Times New Roman"/>
          <w:color w:val="auto"/>
          <w:kern w:val="0"/>
          <w:sz w:val="20"/>
          <w:szCs w:val="20"/>
        </w:rPr>
      </w:pPr>
      <w:r>
        <w:rPr>
          <w:rFonts w:hint="default" w:ascii="Times New Roman" w:hAnsi="Times New Roman" w:eastAsia="黑体" w:cs="Times New Roman"/>
          <w:color w:val="auto"/>
          <w:kern w:val="0"/>
          <w:sz w:val="32"/>
          <w:szCs w:val="32"/>
        </w:rPr>
        <w:t>四、政府信息公开行政复议、行政诉讼情况</w:t>
      </w:r>
    </w:p>
    <w:tbl>
      <w:tblPr>
        <w:tblStyle w:val="6"/>
        <w:tblpPr w:leftFromText="180" w:rightFromText="180" w:vertAnchor="text" w:horzAnchor="page" w:tblpX="1572" w:tblpY="348"/>
        <w:tblOverlap w:val="never"/>
        <w:tblW w:w="9819" w:type="dxa"/>
        <w:tblInd w:w="0" w:type="dxa"/>
        <w:tblLayout w:type="autofit"/>
        <w:tblCellMar>
          <w:top w:w="0" w:type="dxa"/>
          <w:left w:w="0" w:type="dxa"/>
          <w:bottom w:w="0" w:type="dxa"/>
          <w:right w:w="0" w:type="dxa"/>
        </w:tblCellMar>
      </w:tblPr>
      <w:tblGrid>
        <w:gridCol w:w="653"/>
        <w:gridCol w:w="653"/>
        <w:gridCol w:w="653"/>
        <w:gridCol w:w="653"/>
        <w:gridCol w:w="715"/>
        <w:gridCol w:w="595"/>
        <w:gridCol w:w="654"/>
        <w:gridCol w:w="654"/>
        <w:gridCol w:w="654"/>
        <w:gridCol w:w="658"/>
        <w:gridCol w:w="654"/>
        <w:gridCol w:w="654"/>
        <w:gridCol w:w="654"/>
        <w:gridCol w:w="656"/>
        <w:gridCol w:w="659"/>
      </w:tblGrid>
      <w:tr>
        <w:tblPrEx>
          <w:tblCellMar>
            <w:top w:w="0" w:type="dxa"/>
            <w:left w:w="0" w:type="dxa"/>
            <w:bottom w:w="0" w:type="dxa"/>
            <w:right w:w="0" w:type="dxa"/>
          </w:tblCellMar>
        </w:tblPrEx>
        <w:trPr>
          <w:trHeight w:val="309" w:hRule="atLeast"/>
        </w:trPr>
        <w:tc>
          <w:tcPr>
            <w:tcW w:w="3327"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行政复议</w:t>
            </w:r>
          </w:p>
        </w:tc>
        <w:tc>
          <w:tcPr>
            <w:tcW w:w="6492"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行政诉讼</w:t>
            </w:r>
          </w:p>
        </w:tc>
      </w:tr>
      <w:tr>
        <w:tblPrEx>
          <w:tblCellMar>
            <w:top w:w="0" w:type="dxa"/>
            <w:left w:w="0" w:type="dxa"/>
            <w:bottom w:w="0" w:type="dxa"/>
            <w:right w:w="0" w:type="dxa"/>
          </w:tblCellMar>
        </w:tblPrEx>
        <w:trPr>
          <w:trHeight w:val="309" w:hRule="atLeast"/>
        </w:trPr>
        <w:tc>
          <w:tcPr>
            <w:tcW w:w="6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结果维持</w:t>
            </w:r>
          </w:p>
        </w:tc>
        <w:tc>
          <w:tcPr>
            <w:tcW w:w="653"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结果纠正</w:t>
            </w:r>
          </w:p>
        </w:tc>
        <w:tc>
          <w:tcPr>
            <w:tcW w:w="653"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其他结果</w:t>
            </w:r>
          </w:p>
        </w:tc>
        <w:tc>
          <w:tcPr>
            <w:tcW w:w="653"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尚未审结</w:t>
            </w:r>
          </w:p>
        </w:tc>
        <w:tc>
          <w:tcPr>
            <w:tcW w:w="715"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总计</w:t>
            </w:r>
          </w:p>
        </w:tc>
        <w:tc>
          <w:tcPr>
            <w:tcW w:w="321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未经复议直接起诉</w:t>
            </w:r>
          </w:p>
        </w:tc>
        <w:tc>
          <w:tcPr>
            <w:tcW w:w="3277"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复议后起诉</w:t>
            </w:r>
          </w:p>
        </w:tc>
      </w:tr>
      <w:tr>
        <w:tblPrEx>
          <w:tblCellMar>
            <w:top w:w="0" w:type="dxa"/>
            <w:left w:w="0" w:type="dxa"/>
            <w:bottom w:w="0" w:type="dxa"/>
            <w:right w:w="0" w:type="dxa"/>
          </w:tblCellMar>
        </w:tblPrEx>
        <w:trPr>
          <w:trHeight w:val="1177" w:hRule="atLeast"/>
        </w:trPr>
        <w:tc>
          <w:tcPr>
            <w:tcW w:w="6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653" w:type="dxa"/>
            <w:vMerge w:val="continue"/>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653"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653"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715"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结果维持</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结果纠正</w:t>
            </w:r>
          </w:p>
        </w:tc>
        <w:tc>
          <w:tcPr>
            <w:tcW w:w="6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其他结果</w:t>
            </w:r>
          </w:p>
        </w:tc>
        <w:tc>
          <w:tcPr>
            <w:tcW w:w="6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尚未审结</w:t>
            </w:r>
          </w:p>
        </w:tc>
        <w:tc>
          <w:tcPr>
            <w:tcW w:w="6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总计</w:t>
            </w:r>
          </w:p>
        </w:tc>
        <w:tc>
          <w:tcPr>
            <w:tcW w:w="6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结果维持</w:t>
            </w:r>
          </w:p>
        </w:tc>
        <w:tc>
          <w:tcPr>
            <w:tcW w:w="6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结果纠正</w:t>
            </w:r>
          </w:p>
        </w:tc>
        <w:tc>
          <w:tcPr>
            <w:tcW w:w="6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其他结果</w:t>
            </w:r>
          </w:p>
        </w:tc>
        <w:tc>
          <w:tcPr>
            <w:tcW w:w="6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尚未审结</w:t>
            </w:r>
          </w:p>
        </w:tc>
        <w:tc>
          <w:tcPr>
            <w:tcW w:w="6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总计</w:t>
            </w:r>
          </w:p>
        </w:tc>
      </w:tr>
      <w:tr>
        <w:tblPrEx>
          <w:tblCellMar>
            <w:top w:w="0" w:type="dxa"/>
            <w:left w:w="0" w:type="dxa"/>
            <w:bottom w:w="0" w:type="dxa"/>
            <w:right w:w="0" w:type="dxa"/>
          </w:tblCellMar>
        </w:tblPrEx>
        <w:trPr>
          <w:trHeight w:val="912" w:hRule="atLeast"/>
        </w:trPr>
        <w:tc>
          <w:tcPr>
            <w:tcW w:w="65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r>
    </w:tbl>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color w:val="auto"/>
          <w:kern w:val="0"/>
          <w:sz w:val="32"/>
          <w:szCs w:val="32"/>
        </w:rPr>
        <w:t>五、存在的主要问题及改进情况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2025年，我镇政务公开工作虽取得一定成效，但对照更高标准和要求，仍存在以下不足：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（一）主要问题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公开内容有待深化。部分领域信息存在“重程序轻实效”现象，政策解读不够通俗易懂，与群众实际需求存在差距。</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平台协同有待加强。网站、新媒体等平台联动不足，信息发布标准不够统一，未能形成传播合力。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基层公开有待规范。村（社区）公开工作发展不平衡，内容标准、更新时效参差不齐，影响整体效果。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（二）改进措施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深化重点领域公开。聚焦民生关切，优化政策解读方式，运用图文、视频等多元化形式，提升信息可读性和实用性。建立健全公众参与机制，及时回应社会关切。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加强平台融合建设。统筹管理各类公开渠道，推动信息同源发布、标准统一。探索设立线下“政务公开服务区”，为群众提供一站式信息服务。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规范基层公开工作。加强业务培训和质量检查，推动公开内容标准化、流程规范化，确保惠民信息及时准确传递。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下一步，我镇将坚持问题导向，持续优化政务公开工作，切实提升政府透明度和公信力，更好服务经济社会发展和人民群众需求。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微软雅黑" w:cs="微软雅黑"/>
          <w:sz w:val="32"/>
          <w:szCs w:val="32"/>
          <w:highlight w:val="none"/>
        </w:rPr>
      </w:pPr>
      <w:r>
        <w:rPr>
          <w:rFonts w:hint="eastAsia" w:ascii="微软雅黑" w:hAnsi="微软雅黑" w:eastAsia="微软雅黑" w:cs="微软雅黑"/>
          <w:sz w:val="32"/>
          <w:szCs w:val="32"/>
          <w:highlight w:val="none"/>
        </w:rPr>
        <w:t>六、其他需要报告的事项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收取信息处理费情况。本年度政府信息公开申请未达到《政府信息公开信息处理费管理办法》（国办函〔2020〕109号）所规定的信息处理费收费标准，故未收取信息处理费。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落实上级年度政务公开工作要点情况。周营镇围绕薛城区2025年政务公开工作要求，制定实施方案，明确重点领域信息公开、政策解读与回应、政民互动交流、基层公开标准化建设等各项任务的责任主体和完成时限，建立工作台账，确保要点要求逐项落实到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3.人大代表建议和政协提案办理情况。2025年，周营镇未承办市级人大建议，承办市级政协提案共2件，分别是第114353号提案、第114356号提案，内容涉及基层消防治理、乡村振兴等内容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周营镇未承办区级人大建议，承办区级政协提案共1件（第104082号提案），内容涉及小区综合治理问题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截至202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年底，所有建议提案均已解决采纳，答复完毕。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4.开展政务公开创新方面。周营镇持续深化政务公开创新实践，通过实施政务服务满意度测评、常态化开展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政府开放日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等活动，畅通社会监督渠道，提升政民互动实效。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5.本单位政府信息公开工作年度报告数据统计需要说明的事项：无。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6.其他有关文件专门要求通过政府信息公开工作年度报告予以报告的事项：无。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7.本年度报告的电子版可以在“薛城区政府门户网站”（http://www.xuecheng.gov.cn/zwgk/xxgknb/</w:t>
      </w:r>
      <w:r>
        <w:rPr>
          <w:rFonts w:hint="eastAsia" w:ascii="Times New Roman" w:hAnsi="Times New Roman" w:eastAsia="仿宋_GB2312" w:cs="Times New Roman"/>
          <w:sz w:val="32"/>
          <w:szCs w:val="32"/>
          <w:highlight w:val="none"/>
          <w:lang w:val="en-US" w:eastAsia="zh-CN"/>
        </w:rPr>
        <w:t>2025</w:t>
      </w:r>
      <w:bookmarkStart w:id="9" w:name="_GoBack"/>
      <w:bookmarkEnd w:id="9"/>
      <w:r>
        <w:rPr>
          <w:rFonts w:hint="default" w:ascii="Times New Roman" w:hAnsi="Times New Roman" w:eastAsia="仿宋_GB2312" w:cs="Times New Roman"/>
          <w:sz w:val="32"/>
          <w:szCs w:val="32"/>
          <w:highlight w:val="none"/>
        </w:rPr>
        <w:t>xxgknb/)下载。如对本报告有疑问，可与薛城区周营镇人民政府联系(地址:枣庄市薛城区周营镇金汇路32号，邮编：277016 ，电话：0632—4711027，电子邮箱：zy4711027@zz.shandong.cn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yellow"/>
        </w:rPr>
      </w:pPr>
    </w:p>
    <w:p>
      <w:pPr>
        <w:keepNext w:val="0"/>
        <w:keepLines w:val="0"/>
        <w:pageBreakBefore w:val="0"/>
        <w:kinsoku/>
        <w:wordWrap/>
        <w:overflowPunct/>
        <w:topLinePunct w:val="0"/>
        <w:autoSpaceDE/>
        <w:autoSpaceDN/>
        <w:bidi w:val="0"/>
        <w:adjustRightInd/>
        <w:snapToGrid/>
        <w:spacing w:line="600" w:lineRule="exact"/>
        <w:jc w:val="right"/>
        <w:textAlignment w:val="auto"/>
      </w:pPr>
    </w:p>
    <w:sectPr>
      <w:footerReference r:id="rId3" w:type="default"/>
      <w:pgSz w:w="11906" w:h="16838"/>
      <w:pgMar w:top="1701" w:right="1701" w:bottom="1701" w:left="1701"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MjZmYzU0OWYwNTUzMmQyM2YzZWVkNzg0ZmM2OGQifQ=="/>
  </w:docVars>
  <w:rsids>
    <w:rsidRoot w:val="00000000"/>
    <w:rsid w:val="08E03680"/>
    <w:rsid w:val="115C7E49"/>
    <w:rsid w:val="134F077F"/>
    <w:rsid w:val="2EEEE017"/>
    <w:rsid w:val="361BD935"/>
    <w:rsid w:val="3F7F284F"/>
    <w:rsid w:val="452A3534"/>
    <w:rsid w:val="4D6668C7"/>
    <w:rsid w:val="4F851586"/>
    <w:rsid w:val="52CF58AE"/>
    <w:rsid w:val="5EDF0BD0"/>
    <w:rsid w:val="6ACA4B98"/>
    <w:rsid w:val="73EFC26C"/>
    <w:rsid w:val="76DE80B7"/>
    <w:rsid w:val="772F55BC"/>
    <w:rsid w:val="79FD9120"/>
    <w:rsid w:val="7A4643BF"/>
    <w:rsid w:val="7BFF441D"/>
    <w:rsid w:val="7DBF5754"/>
    <w:rsid w:val="7F7D8026"/>
    <w:rsid w:val="7F7F25E1"/>
    <w:rsid w:val="7F9E1EEB"/>
    <w:rsid w:val="7FEEB963"/>
    <w:rsid w:val="7FF769F7"/>
    <w:rsid w:val="7FFA604C"/>
    <w:rsid w:val="86DBB1E5"/>
    <w:rsid w:val="96588CE8"/>
    <w:rsid w:val="A5FB11D1"/>
    <w:rsid w:val="B80F3444"/>
    <w:rsid w:val="BF2B7D46"/>
    <w:rsid w:val="BFB730EA"/>
    <w:rsid w:val="CBEEE099"/>
    <w:rsid w:val="D9BBF330"/>
    <w:rsid w:val="EBB23728"/>
    <w:rsid w:val="EBEF0559"/>
    <w:rsid w:val="EE8F98C0"/>
    <w:rsid w:val="EEFEA503"/>
    <w:rsid w:val="FCFFD9FE"/>
    <w:rsid w:val="FDFAC2BC"/>
    <w:rsid w:val="FE708C43"/>
    <w:rsid w:val="FEFEDF8C"/>
    <w:rsid w:val="FFFF7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3023</Words>
  <Characters>3192</Characters>
  <Lines>0</Lines>
  <Paragraphs>0</Paragraphs>
  <TotalTime>1</TotalTime>
  <ScaleCrop>false</ScaleCrop>
  <LinksUpToDate>false</LinksUpToDate>
  <CharactersWithSpaces>3194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2024-01-11T01:40:00Z</dcterms:created>
  <dc:creator>Administrator</dc:creator>
  <cp:lastModifiedBy>user</cp:lastModifiedBy>
  <dcterms:modified xsi:type="dcterms:W3CDTF">2026-01-21T16:02:28Z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BEB4DCD1987147B7AC9E05C4EE16FAAA_13</vt:lpwstr>
  </property>
  <property fmtid="{D5CDD505-2E9C-101B-9397-08002B2CF9AE}" pid="4" name="KSOTemplateDocerSaveRecord">
    <vt:lpwstr>eyJoZGlkIjoiYjk2MjM5OTU4MGRmMjRlY2IxZTdkOGQ2NWY1Y2EyODMiLCJ1c2VySWQiOiIxMjA5OTgzMjc2In0=</vt:lpwstr>
  </property>
</Properties>
</file>