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薛城区自然资源局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val="en-US" w:eastAsia="zh-CN"/>
        </w:rPr>
        <w:t>2025年</w:t>
      </w:r>
      <w:r>
        <w:rPr>
          <w:rFonts w:hint="default" w:ascii="Times New Roman" w:hAnsi="Times New Roman" w:eastAsia="方正小标宋简体" w:cs="Times New Roman"/>
          <w:color w:val="auto"/>
          <w:sz w:val="44"/>
          <w:szCs w:val="44"/>
          <w:highlight w:val="none"/>
        </w:rPr>
        <w:t>政府信息公开工作年度报告</w:t>
      </w:r>
    </w:p>
    <w:p>
      <w:pPr>
        <w:pStyle w:val="2"/>
        <w:keepNext w:val="0"/>
        <w:keepLines w:val="0"/>
        <w:pageBreakBefore w:val="0"/>
        <w:kinsoku/>
        <w:overflowPunct/>
        <w:topLinePunct w:val="0"/>
        <w:bidi w:val="0"/>
        <w:adjustRightIn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val="0"/>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本年度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内容包括总体情况、主动公开政府信息情况、收到和处理政府信息公开申请情况、政府信息公开行政复议和行政诉讼情况、存在的主要问题及改进情况、其他需要报告的事项等六个部分。本年度报告中所列数据统计期限从2025年1月1日到2025年12月31日止。</w:t>
      </w:r>
      <w:r>
        <w:rPr>
          <w:rFonts w:hint="default" w:ascii="Times New Roman" w:hAnsi="Times New Roman" w:eastAsia="仿宋_GB2312" w:cs="Times New Roman"/>
          <w:color w:val="auto"/>
          <w:kern w:val="2"/>
          <w:sz w:val="32"/>
          <w:szCs w:val="32"/>
          <w:highlight w:val="none"/>
          <w:lang w:val="en-US" w:eastAsia="zh-CN" w:bidi="ar-SA"/>
        </w:rPr>
        <w:t>本年度报告的电子版可以在“薛城区政府门户网站”（http://www.xuecheng.gov.cn/zwgk/xxgknb/2025xxgknb/)下载。如对本报告有疑问，</w:t>
      </w:r>
      <w:r>
        <w:rPr>
          <w:rFonts w:hint="default" w:ascii="Times New Roman" w:hAnsi="Times New Roman" w:eastAsia="仿宋_GB2312" w:cs="Times New Roman"/>
          <w:color w:val="auto"/>
          <w:kern w:val="0"/>
          <w:sz w:val="32"/>
          <w:szCs w:val="32"/>
          <w:highlight w:val="none"/>
        </w:rPr>
        <w:t>可与薛城区自然资源局联系（地址：薛城区中和路财税综合服务中心，邮政编码：277000；电话：0632—4422025；电子邮箱：xcqgtfjadmin@zz.shandong.cn）。</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黑体" w:cs="Times New Roman"/>
          <w:i w:val="0"/>
          <w:iCs w:val="0"/>
          <w:caps w:val="0"/>
          <w:color w:val="000000"/>
          <w:spacing w:val="0"/>
          <w:kern w:val="0"/>
          <w:sz w:val="32"/>
          <w:szCs w:val="32"/>
          <w:lang w:val="en-US" w:eastAsia="zh-CN" w:bidi="ar"/>
        </w:rPr>
      </w:pPr>
      <w:r>
        <w:rPr>
          <w:rFonts w:hint="default" w:ascii="Times New Roman" w:hAnsi="Times New Roman" w:eastAsia="黑体" w:cs="Times New Roman"/>
          <w:i w:val="0"/>
          <w:iCs w:val="0"/>
          <w:caps w:val="0"/>
          <w:color w:val="000000"/>
          <w:spacing w:val="0"/>
          <w:kern w:val="0"/>
          <w:sz w:val="32"/>
          <w:szCs w:val="32"/>
          <w:lang w:val="en-US" w:eastAsia="zh-CN" w:bidi="ar"/>
        </w:rPr>
        <w:t>总体情况</w:t>
      </w:r>
    </w:p>
    <w:p>
      <w:pPr>
        <w:keepNext w:val="0"/>
        <w:keepLines w:val="0"/>
        <w:pageBreakBefore w:val="0"/>
        <w:widowControl/>
        <w:suppressLineNumbers w:val="0"/>
        <w:kinsoku/>
        <w:overflowPunct/>
        <w:topLinePunct w:val="0"/>
        <w:bidi w:val="0"/>
        <w:adjustRightIn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lang w:val="en-US" w:eastAsia="zh-CN" w:bidi="ar"/>
        </w:rPr>
        <w:t>2025年，薛城区自然资源局始终以习近平新时代中国特色社会主义思想为根本遵循，严格恪守《中华人民共和国政府信息公开条例》各项规定，扎实有序推进自然资源领域政府信息公开各项工作，主动回应社会各界及群众的重点关切，充分发挥政府网站作为信息发布的“第一平台”核心作用，持续提升行政效能，全力推动政务公开工作向透明化、公正化、规范化方向迈进，切实保障群众的知情权、参与权和监督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楷体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kern w:val="0"/>
          <w:sz w:val="32"/>
          <w:szCs w:val="32"/>
          <w:lang w:val="en-US" w:eastAsia="zh-CN" w:bidi="ar"/>
        </w:rPr>
        <w:t>（一）主动公开情况</w:t>
      </w:r>
    </w:p>
    <w:p>
      <w:pPr>
        <w:keepNext w:val="0"/>
        <w:keepLines w:val="0"/>
        <w:pageBreakBefore w:val="0"/>
        <w:widowControl/>
        <w:suppressLineNumbers w:val="0"/>
        <w:kinsoku/>
        <w:overflowPunct/>
        <w:topLinePunct w:val="0"/>
        <w:bidi w:val="0"/>
        <w:adjustRightIn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lang w:val="en-US" w:eastAsia="zh-CN" w:bidi="ar"/>
        </w:rPr>
        <w:t>2025年，薛城区自然资源局以区政府网站为核心载体，全年共主动公开政府信息49条，内容涵盖本部门工作动态、重点领域信息公示、重点工作完成情况等多个方面，全面覆盖自然资源管理核心业务。工作中，严格落实“应公开尽公开”原则，持续深化政务公开标准化规范化建设，对照主动公开基本目录逐项梳理核查，定期开展自查评估工作，以公开促落实、以公开促规范、以公开促服务，确保所有主动公开信息均符合及时、准确、规范的工作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楷体_GB2312" w:cs="Times New Roman"/>
          <w:i w:val="0"/>
          <w:iCs w:val="0"/>
          <w:caps w:val="0"/>
          <w:color w:val="000000"/>
          <w:spacing w:val="0"/>
          <w:kern w:val="0"/>
          <w:sz w:val="32"/>
          <w:szCs w:val="32"/>
          <w:lang w:val="en-US" w:eastAsia="zh-CN" w:bidi="ar"/>
        </w:rPr>
      </w:pPr>
      <w:r>
        <w:rPr>
          <w:rFonts w:hint="default" w:ascii="Times New Roman" w:hAnsi="Times New Roman" w:eastAsia="楷体_GB2312" w:cs="Times New Roman"/>
          <w:i w:val="0"/>
          <w:iCs w:val="0"/>
          <w:caps w:val="0"/>
          <w:color w:val="000000"/>
          <w:spacing w:val="0"/>
          <w:kern w:val="0"/>
          <w:sz w:val="32"/>
          <w:szCs w:val="32"/>
          <w:lang w:val="en-US" w:eastAsia="zh-CN" w:bidi="ar"/>
        </w:rPr>
        <w:t>（二）依申请公开情况</w:t>
      </w:r>
    </w:p>
    <w:p>
      <w:pPr>
        <w:keepNext w:val="0"/>
        <w:keepLines w:val="0"/>
        <w:pageBreakBefore w:val="0"/>
        <w:widowControl/>
        <w:suppressLineNumbers w:val="0"/>
        <w:kinsoku/>
        <w:overflowPunct/>
        <w:topLinePunct w:val="0"/>
        <w:bidi w:val="0"/>
        <w:adjustRightIn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000000"/>
          <w:spacing w:val="0"/>
          <w:kern w:val="0"/>
          <w:sz w:val="32"/>
          <w:szCs w:val="32"/>
          <w:highlight w:val="none"/>
          <w:lang w:val="en-US" w:eastAsia="zh-CN" w:bidi="ar"/>
        </w:rPr>
      </w:pPr>
      <w:r>
        <w:rPr>
          <w:rFonts w:hint="default" w:ascii="Times New Roman" w:hAnsi="Times New Roman" w:eastAsia="仿宋_GB2312" w:cs="Times New Roman"/>
          <w:i w:val="0"/>
          <w:iCs w:val="0"/>
          <w:caps w:val="0"/>
          <w:color w:val="000000"/>
          <w:spacing w:val="0"/>
          <w:kern w:val="0"/>
          <w:sz w:val="32"/>
          <w:szCs w:val="32"/>
          <w:lang w:val="en-US" w:eastAsia="zh-CN" w:bidi="ar"/>
        </w:rPr>
        <w:t>为切实保障群众依法获取政府信息的权利，我局严格依据《中华人民共和国政府信息公开条例》相关规定，全面规范依申请公开工作流程，健全“办公室统一受理、业务科室分口办理、办公室归口答复”的工作机制，畅通网络、来信、邮件等多元化申请渠道，为群众申请公开信息提供便捷服务。同时，进一步明确各环节职责分工，不断完善工作制度，制定《外网信息发布（主动公开）审批表》《依申请公开工作流程》，严格按照规定格式规范答复文书制作，确保答复工作合法合规、严谨规范。</w:t>
      </w: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2025年，我单位共收到政府信息公开申请30件，其中予以公开10件，部分公开13件，无法提供7件，不予公开0件</w:t>
      </w:r>
      <w:r>
        <w:rPr>
          <w:rFonts w:hint="eastAsia" w:ascii="Times New Roman" w:hAnsi="Times New Roman" w:eastAsia="仿宋_GB2312" w:cs="Times New Roman"/>
          <w:i w:val="0"/>
          <w:iCs w:val="0"/>
          <w:caps w:val="0"/>
          <w:color w:val="000000"/>
          <w:spacing w:val="0"/>
          <w:kern w:val="0"/>
          <w:sz w:val="32"/>
          <w:szCs w:val="32"/>
          <w:highlight w:val="none"/>
          <w:lang w:val="en-US" w:eastAsia="zh-CN" w:bidi="ar"/>
        </w:rPr>
        <w:t>；行政复议共4件，其中1个维持结果，3个其他结果，无行政诉讼情况。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楷体_GB2312" w:cs="Times New Roman"/>
          <w:i w:val="0"/>
          <w:iCs w:val="0"/>
          <w:caps w:val="0"/>
          <w:color w:val="000000"/>
          <w:spacing w:val="0"/>
          <w:kern w:val="0"/>
          <w:sz w:val="32"/>
          <w:szCs w:val="32"/>
          <w:highlight w:val="none"/>
          <w:lang w:val="en-US" w:eastAsia="zh-CN" w:bidi="ar"/>
        </w:rPr>
      </w:pPr>
      <w:r>
        <w:rPr>
          <w:rFonts w:hint="default" w:ascii="Times New Roman" w:hAnsi="Times New Roman" w:eastAsia="楷体_GB2312" w:cs="Times New Roman"/>
          <w:i w:val="0"/>
          <w:iCs w:val="0"/>
          <w:caps w:val="0"/>
          <w:color w:val="000000"/>
          <w:spacing w:val="0"/>
          <w:kern w:val="0"/>
          <w:sz w:val="32"/>
          <w:szCs w:val="32"/>
          <w:highlight w:val="none"/>
          <w:lang w:val="en-US" w:eastAsia="zh-CN" w:bidi="ar"/>
        </w:rPr>
        <w:t>（三）政府信息管理情况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结合区自然资源局工作实际，我局成立政府信息公开工作领导小组，定期召开工作会议，专题研究部署信息公开工作，重点梳理群众普遍关心、与群众切身利益密切相关的政府信息，其中，像公众高度关注的国有建设用地划拨方案等信息，均通过区政府网站及时向社会公开发布。严格执行信息发布“三审”制度，从信息采集、编辑到发布，层层把关、严格审核，确保公开信息的真实性、准确性和权威性。局办公室专门建立“依申请公开台账”，对收到的申请信息实行分类管理、逐项登记，按照办理流程跟踪督办、逐一回复销项，有效提升了依申请公开工作的效率和科学化水平。通过上述一系列举措，显著提升了全局信息公开工作成效，为建设透明、高效、服务型政府筑牢了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楷体_GB2312" w:cs="Times New Roman"/>
          <w:i w:val="0"/>
          <w:iCs w:val="0"/>
          <w:caps w:val="0"/>
          <w:color w:val="000000"/>
          <w:spacing w:val="0"/>
          <w:kern w:val="0"/>
          <w:sz w:val="32"/>
          <w:szCs w:val="32"/>
          <w:lang w:val="en-US" w:eastAsia="zh-CN" w:bidi="ar"/>
        </w:rPr>
      </w:pPr>
      <w:r>
        <w:rPr>
          <w:rFonts w:hint="default" w:ascii="Times New Roman" w:hAnsi="Times New Roman" w:eastAsia="楷体_GB2312" w:cs="Times New Roman"/>
          <w:i w:val="0"/>
          <w:iCs w:val="0"/>
          <w:caps w:val="0"/>
          <w:color w:val="000000"/>
          <w:spacing w:val="0"/>
          <w:kern w:val="0"/>
          <w:sz w:val="32"/>
          <w:szCs w:val="32"/>
          <w:lang w:val="en-US" w:eastAsia="zh-CN" w:bidi="ar"/>
        </w:rPr>
        <w:t>（四）政府信息公开平台建设情况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薛城区自然资源局无独立门户网站，始终以区政府网站作为政府信息公开的主要平台，聚焦群众获取信息的便捷性和高效性，不断优化平台栏目设置，进一步明确栏目定位、完善内容分类，着力提升信息发布的时效性和权威性。同时，加强政府网站信息公开综合性建设，常态化开展网站信息排查整治工作，重点解决内容未更新、信息过期、链接失效等问题，全力保障平台规范有序运行。局办公室专门安排专人负责平台日常维护工作，及时更新公开信息、回应群众关切、处理平台相关事宜，持续提升网站使用体验和服务水平，确保平台充分发挥信息公开、政策解读、便民服务的核心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楷体_GB2312" w:cs="Times New Roman"/>
          <w:i w:val="0"/>
          <w:iCs w:val="0"/>
          <w:caps w:val="0"/>
          <w:color w:val="000000"/>
          <w:spacing w:val="0"/>
          <w:kern w:val="0"/>
          <w:sz w:val="32"/>
          <w:szCs w:val="32"/>
          <w:lang w:val="en-US" w:eastAsia="zh-CN" w:bidi="ar"/>
        </w:rPr>
      </w:pPr>
      <w:r>
        <w:rPr>
          <w:rFonts w:hint="default" w:ascii="Times New Roman" w:hAnsi="Times New Roman" w:eastAsia="楷体_GB2312" w:cs="Times New Roman"/>
          <w:i w:val="0"/>
          <w:iCs w:val="0"/>
          <w:caps w:val="0"/>
          <w:color w:val="000000"/>
          <w:spacing w:val="0"/>
          <w:kern w:val="0"/>
          <w:sz w:val="32"/>
          <w:szCs w:val="32"/>
          <w:lang w:val="en-US" w:eastAsia="zh-CN" w:bidi="ar"/>
        </w:rPr>
        <w:t>（五）监督保障情况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按照《中华人民共和国政府信息公开条例》相关要求，我局切实强化政府信息公开工作能力建设和组织保障，进一步建立健全工作机制，明确政务公开工作的主体责任、分管责任和具体责任，形成一级抓一级、层层抓落实的工作格局。强化监督考评力度，严格对照区政府明确的政务公开考核内容，细化考核指标、压实工作责任，将各项目标任务分解到人、落实到岗，定期开展监督检查和考核评估，及时发现问题、督促整改，有效构建起日常政务公开有监督、有考核、有落实的工作新机制，为全局政府信息公开工作有序推进提供了坚实保障。</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黑体" w:cs="Times New Roman"/>
          <w:b w:val="0"/>
          <w:bCs w:val="0"/>
          <w:color w:val="auto"/>
          <w:highlight w:val="none"/>
          <w:lang w:eastAsia="zh-CN"/>
        </w:rPr>
        <w:t>二、主动公开政府信息情况</w:t>
      </w:r>
    </w:p>
    <w:tbl>
      <w:tblPr>
        <w:tblStyle w:val="7"/>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信息内容</w:t>
            </w:r>
          </w:p>
        </w:tc>
        <w:tc>
          <w:tcPr>
            <w:tcW w:w="2206" w:type="dxa"/>
            <w:tcBorders>
              <w:top w:val="nil"/>
              <w:left w:val="nil"/>
              <w:bottom w:val="single" w:color="auto" w:sz="8" w:space="0"/>
              <w:right w:val="single" w:color="auto"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本年制发件数</w:t>
            </w:r>
          </w:p>
        </w:tc>
        <w:tc>
          <w:tcPr>
            <w:tcW w:w="2206" w:type="dxa"/>
            <w:tcBorders>
              <w:top w:val="nil"/>
              <w:left w:val="nil"/>
              <w:bottom w:val="single" w:color="auto" w:sz="8" w:space="0"/>
              <w:right w:val="single" w:color="auto"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本年废止件数</w:t>
            </w:r>
          </w:p>
        </w:tc>
        <w:tc>
          <w:tcPr>
            <w:tcW w:w="2206" w:type="dxa"/>
            <w:tcBorders>
              <w:top w:val="nil"/>
              <w:left w:val="nil"/>
              <w:bottom w:val="single" w:color="auto" w:sz="8" w:space="0"/>
              <w:right w:val="single" w:color="auto"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规章</w:t>
            </w:r>
          </w:p>
        </w:tc>
        <w:tc>
          <w:tcPr>
            <w:tcW w:w="2206" w:type="dxa"/>
            <w:tcBorders>
              <w:top w:val="nil"/>
              <w:left w:val="nil"/>
              <w:bottom w:val="single" w:color="auto" w:sz="8" w:space="0"/>
              <w:right w:val="single" w:color="auto"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行政规范性文件</w:t>
            </w:r>
          </w:p>
        </w:tc>
        <w:tc>
          <w:tcPr>
            <w:tcW w:w="2206" w:type="dxa"/>
            <w:tcBorders>
              <w:top w:val="nil"/>
              <w:left w:val="nil"/>
              <w:bottom w:val="single" w:color="auto" w:sz="8" w:space="0"/>
              <w:right w:val="single" w:color="auto"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165</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0</w:t>
            </w:r>
          </w:p>
        </w:tc>
      </w:tr>
    </w:tbl>
    <w:p>
      <w:pPr>
        <w:pStyle w:val="3"/>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黑体" w:cs="Times New Roman"/>
          <w:b w:val="0"/>
          <w:bCs w:val="0"/>
          <w:color w:val="auto"/>
          <w:highlight w:val="none"/>
        </w:rPr>
      </w:pPr>
      <w:r>
        <w:rPr>
          <w:rFonts w:hint="default" w:ascii="Times New Roman" w:hAnsi="Times New Roman" w:eastAsia="黑体" w:cs="Times New Roman"/>
          <w:b w:val="0"/>
          <w:bCs w:val="0"/>
          <w:color w:val="auto"/>
          <w:highlight w:val="none"/>
          <w:lang w:eastAsia="zh-CN"/>
        </w:rPr>
        <w:t>三、收到和处理政府信息公开申请情况</w:t>
      </w:r>
    </w:p>
    <w:tbl>
      <w:tblPr>
        <w:tblStyle w:val="7"/>
        <w:tblW w:w="90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99"/>
        <w:gridCol w:w="1257"/>
        <w:gridCol w:w="2701"/>
        <w:gridCol w:w="829"/>
        <w:gridCol w:w="567"/>
        <w:gridCol w:w="567"/>
        <w:gridCol w:w="731"/>
        <w:gridCol w:w="708"/>
        <w:gridCol w:w="567"/>
        <w:gridCol w:w="6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57" w:type="dxa"/>
            <w:gridSpan w:val="3"/>
            <w:vMerge w:val="restart"/>
            <w:shd w:val="clear" w:color="auto" w:fill="auto"/>
            <w:tcMar>
              <w:left w:w="108" w:type="dxa"/>
              <w:right w:w="108" w:type="dxa"/>
            </w:tcMar>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楷体_GB2312" w:cs="Times New Roman"/>
                <w:color w:val="auto"/>
                <w:kern w:val="0"/>
                <w:szCs w:val="21"/>
                <w:highlight w:val="none"/>
              </w:rPr>
            </w:pPr>
            <w:r>
              <w:rPr>
                <w:rFonts w:hint="default" w:ascii="Times New Roman" w:hAnsi="Times New Roman" w:eastAsia="楷体_GB2312" w:cs="Times New Roman"/>
                <w:color w:val="auto"/>
                <w:kern w:val="0"/>
                <w:szCs w:val="21"/>
                <w:highlight w:val="none"/>
              </w:rPr>
              <w:t>（本列数据的勾稽关系为：第一项加第二项之和，</w:t>
            </w:r>
          </w:p>
          <w:p>
            <w:pPr>
              <w:pageBreakBefore w:val="0"/>
              <w:widowControl/>
              <w:kinsoku/>
              <w:overflowPunct/>
              <w:topLinePunct w:val="0"/>
              <w:bidi w:val="0"/>
              <w:adjustRightInd/>
              <w:spacing w:line="60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楷体_GB2312" w:cs="Times New Roman"/>
                <w:color w:val="auto"/>
                <w:kern w:val="0"/>
                <w:szCs w:val="21"/>
                <w:highlight w:val="none"/>
              </w:rPr>
              <w:t>等于第三项加第四项之和）</w:t>
            </w:r>
          </w:p>
        </w:tc>
        <w:tc>
          <w:tcPr>
            <w:tcW w:w="4619" w:type="dxa"/>
            <w:gridSpan w:val="7"/>
            <w:shd w:val="clear" w:color="auto" w:fill="auto"/>
            <w:tcMar>
              <w:left w:w="108" w:type="dxa"/>
              <w:right w:w="108" w:type="dxa"/>
            </w:tcMar>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4457" w:type="dxa"/>
            <w:gridSpan w:val="3"/>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仿宋_GB2312" w:cs="Times New Roman"/>
                <w:color w:val="auto"/>
                <w:szCs w:val="21"/>
                <w:highlight w:val="none"/>
              </w:rPr>
            </w:pPr>
          </w:p>
        </w:tc>
        <w:tc>
          <w:tcPr>
            <w:tcW w:w="829" w:type="dxa"/>
            <w:vMerge w:val="restart"/>
            <w:shd w:val="clear" w:color="auto" w:fill="auto"/>
            <w:tcMar>
              <w:left w:w="108" w:type="dxa"/>
              <w:right w:w="108" w:type="dxa"/>
            </w:tcMar>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自然人</w:t>
            </w:r>
          </w:p>
        </w:tc>
        <w:tc>
          <w:tcPr>
            <w:tcW w:w="3140" w:type="dxa"/>
            <w:gridSpan w:val="5"/>
            <w:shd w:val="clear" w:color="auto" w:fill="auto"/>
            <w:tcMar>
              <w:left w:w="108" w:type="dxa"/>
              <w:right w:w="108" w:type="dxa"/>
            </w:tcMar>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法人或其他组织</w:t>
            </w:r>
          </w:p>
        </w:tc>
        <w:tc>
          <w:tcPr>
            <w:tcW w:w="650" w:type="dxa"/>
            <w:vMerge w:val="restart"/>
            <w:shd w:val="clear" w:color="auto" w:fill="auto"/>
            <w:tcMar>
              <w:left w:w="108" w:type="dxa"/>
              <w:right w:w="108" w:type="dxa"/>
            </w:tcMar>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4457" w:type="dxa"/>
            <w:gridSpan w:val="3"/>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仿宋_GB2312" w:cs="Times New Roman"/>
                <w:color w:val="auto"/>
                <w:szCs w:val="21"/>
                <w:highlight w:val="none"/>
              </w:rPr>
            </w:pPr>
          </w:p>
        </w:tc>
        <w:tc>
          <w:tcPr>
            <w:tcW w:w="829"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567" w:type="dxa"/>
            <w:shd w:val="clear" w:color="auto" w:fill="auto"/>
            <w:tcMar>
              <w:left w:w="108" w:type="dxa"/>
              <w:right w:w="108" w:type="dxa"/>
            </w:tcMar>
            <w:vAlign w:val="center"/>
          </w:tcPr>
          <w:p>
            <w:pPr>
              <w:pageBreakBefore w:val="0"/>
              <w:widowControl/>
              <w:kinsoku/>
              <w:overflowPunct/>
              <w:topLinePunct w:val="0"/>
              <w:bidi w:val="0"/>
              <w:adjustRightInd/>
              <w:spacing w:line="600" w:lineRule="exact"/>
              <w:ind w:left="-106" w:leftChars="-51" w:right="-107" w:rightChars="-51" w:hanging="1"/>
              <w:jc w:val="center"/>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商业企业</w:t>
            </w:r>
          </w:p>
        </w:tc>
        <w:tc>
          <w:tcPr>
            <w:tcW w:w="567" w:type="dxa"/>
            <w:shd w:val="clear" w:color="auto" w:fill="auto"/>
            <w:tcMar>
              <w:left w:w="108" w:type="dxa"/>
              <w:right w:w="108" w:type="dxa"/>
            </w:tcMar>
            <w:vAlign w:val="center"/>
          </w:tcPr>
          <w:p>
            <w:pPr>
              <w:pageBreakBefore w:val="0"/>
              <w:widowControl/>
              <w:kinsoku/>
              <w:overflowPunct/>
              <w:topLinePunct w:val="0"/>
              <w:bidi w:val="0"/>
              <w:adjustRightInd/>
              <w:spacing w:line="600" w:lineRule="exact"/>
              <w:ind w:left="-107" w:leftChars="-51" w:right="-107" w:rightChars="-51"/>
              <w:jc w:val="center"/>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科研机构</w:t>
            </w:r>
          </w:p>
        </w:tc>
        <w:tc>
          <w:tcPr>
            <w:tcW w:w="731" w:type="dxa"/>
            <w:shd w:val="clear" w:color="auto" w:fill="auto"/>
            <w:tcMar>
              <w:left w:w="108" w:type="dxa"/>
              <w:right w:w="108" w:type="dxa"/>
            </w:tcMar>
            <w:vAlign w:val="center"/>
          </w:tcPr>
          <w:p>
            <w:pPr>
              <w:pageBreakBefore w:val="0"/>
              <w:widowControl/>
              <w:kinsoku/>
              <w:overflowPunct/>
              <w:topLinePunct w:val="0"/>
              <w:bidi w:val="0"/>
              <w:adjustRightInd/>
              <w:spacing w:line="600" w:lineRule="exact"/>
              <w:ind w:left="-107" w:leftChars="-51" w:right="-107" w:rightChars="-51"/>
              <w:jc w:val="center"/>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社会公益组织</w:t>
            </w:r>
          </w:p>
        </w:tc>
        <w:tc>
          <w:tcPr>
            <w:tcW w:w="708" w:type="dxa"/>
            <w:shd w:val="clear" w:color="auto" w:fill="auto"/>
            <w:tcMar>
              <w:left w:w="108" w:type="dxa"/>
              <w:right w:w="108" w:type="dxa"/>
            </w:tcMar>
            <w:vAlign w:val="center"/>
          </w:tcPr>
          <w:p>
            <w:pPr>
              <w:pageBreakBefore w:val="0"/>
              <w:widowControl/>
              <w:kinsoku/>
              <w:overflowPunct/>
              <w:topLinePunct w:val="0"/>
              <w:bidi w:val="0"/>
              <w:adjustRightInd/>
              <w:spacing w:line="600" w:lineRule="exact"/>
              <w:ind w:left="-106" w:leftChars="-51" w:right="-107" w:rightChars="-51" w:hanging="1"/>
              <w:jc w:val="center"/>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法律服务机构</w:t>
            </w:r>
          </w:p>
        </w:tc>
        <w:tc>
          <w:tcPr>
            <w:tcW w:w="567" w:type="dxa"/>
            <w:shd w:val="clear" w:color="auto" w:fill="auto"/>
            <w:tcMar>
              <w:left w:w="108" w:type="dxa"/>
              <w:right w:w="108" w:type="dxa"/>
            </w:tcMar>
            <w:vAlign w:val="center"/>
          </w:tcPr>
          <w:p>
            <w:pPr>
              <w:pageBreakBefore w:val="0"/>
              <w:widowControl/>
              <w:kinsoku/>
              <w:overflowPunct/>
              <w:topLinePunct w:val="0"/>
              <w:bidi w:val="0"/>
              <w:adjustRightInd/>
              <w:spacing w:line="600" w:lineRule="exact"/>
              <w:ind w:left="-63" w:leftChars="-30" w:right="-134" w:rightChars="-64"/>
              <w:jc w:val="center"/>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其他</w:t>
            </w:r>
          </w:p>
        </w:tc>
        <w:tc>
          <w:tcPr>
            <w:tcW w:w="650"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仿宋_GB2312"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7" w:type="dxa"/>
            <w:gridSpan w:val="3"/>
            <w:shd w:val="clear" w:color="auto" w:fill="auto"/>
            <w:tcMar>
              <w:left w:w="108" w:type="dxa"/>
              <w:right w:w="108" w:type="dxa"/>
            </w:tcMar>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一、本年新收政府信息公开申请数量</w:t>
            </w:r>
          </w:p>
        </w:tc>
        <w:tc>
          <w:tcPr>
            <w:tcW w:w="829"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29</w:t>
            </w:r>
          </w:p>
        </w:tc>
        <w:tc>
          <w:tcPr>
            <w:tcW w:w="567"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1</w:t>
            </w:r>
          </w:p>
        </w:tc>
        <w:tc>
          <w:tcPr>
            <w:tcW w:w="567"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7" w:type="dxa"/>
            <w:gridSpan w:val="3"/>
            <w:shd w:val="clear" w:color="auto" w:fill="auto"/>
            <w:tcMar>
              <w:left w:w="108" w:type="dxa"/>
              <w:right w:w="108" w:type="dxa"/>
            </w:tcMar>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二、上年结转政府信息公开申请数量</w:t>
            </w:r>
          </w:p>
        </w:tc>
        <w:tc>
          <w:tcPr>
            <w:tcW w:w="829"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9" w:type="dxa"/>
            <w:vMerge w:val="restart"/>
            <w:shd w:val="clear" w:color="auto" w:fill="auto"/>
            <w:tcMar>
              <w:left w:w="108" w:type="dxa"/>
              <w:right w:w="108" w:type="dxa"/>
            </w:tcMar>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三、本年度办理结果</w:t>
            </w:r>
          </w:p>
        </w:tc>
        <w:tc>
          <w:tcPr>
            <w:tcW w:w="3958" w:type="dxa"/>
            <w:gridSpan w:val="2"/>
            <w:shd w:val="clear" w:color="auto" w:fill="auto"/>
            <w:tcMar>
              <w:left w:w="108" w:type="dxa"/>
              <w:right w:w="108" w:type="dxa"/>
            </w:tcMar>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（一）予以公开</w:t>
            </w:r>
          </w:p>
        </w:tc>
        <w:tc>
          <w:tcPr>
            <w:tcW w:w="829"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10</w:t>
            </w:r>
          </w:p>
        </w:tc>
        <w:tc>
          <w:tcPr>
            <w:tcW w:w="567"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99"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3958" w:type="dxa"/>
            <w:gridSpan w:val="2"/>
            <w:shd w:val="clear" w:color="auto" w:fill="auto"/>
            <w:tcMar>
              <w:left w:w="108" w:type="dxa"/>
              <w:right w:w="108" w:type="dxa"/>
            </w:tcMar>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（二）部分公开（区分处理的，只计这一情形，不计其他情形）</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13</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9"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1257" w:type="dxa"/>
            <w:vMerge w:val="restart"/>
            <w:shd w:val="clear" w:color="auto" w:fill="auto"/>
            <w:tcMar>
              <w:left w:w="108" w:type="dxa"/>
              <w:right w:w="108" w:type="dxa"/>
            </w:tcMar>
            <w:vAlign w:val="center"/>
          </w:tcPr>
          <w:p>
            <w:pPr>
              <w:pageBreakBefore w:val="0"/>
              <w:widowControl/>
              <w:kinsoku/>
              <w:overflowPunct/>
              <w:topLinePunct w:val="0"/>
              <w:bidi w:val="0"/>
              <w:adjustRightInd/>
              <w:spacing w:line="600" w:lineRule="exact"/>
              <w:ind w:left="-107" w:leftChars="-51"/>
              <w:jc w:val="center"/>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（三）不予公开</w:t>
            </w:r>
          </w:p>
        </w:tc>
        <w:tc>
          <w:tcPr>
            <w:tcW w:w="2701" w:type="dxa"/>
            <w:shd w:val="clear" w:color="auto" w:fill="auto"/>
            <w:tcMar>
              <w:left w:w="108" w:type="dxa"/>
              <w:right w:w="108" w:type="dxa"/>
            </w:tcMar>
            <w:vAlign w:val="center"/>
          </w:tcPr>
          <w:p>
            <w:pPr>
              <w:pageBreakBefore w:val="0"/>
              <w:widowControl/>
              <w:kinsoku/>
              <w:overflowPunct/>
              <w:topLinePunct w:val="0"/>
              <w:bidi w:val="0"/>
              <w:adjustRightInd/>
              <w:spacing w:line="6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1.属于国家秘密</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9"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1257"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2701" w:type="dxa"/>
            <w:shd w:val="clear" w:color="auto" w:fill="auto"/>
            <w:tcMar>
              <w:left w:w="108" w:type="dxa"/>
              <w:right w:w="108" w:type="dxa"/>
            </w:tcMar>
            <w:vAlign w:val="center"/>
          </w:tcPr>
          <w:p>
            <w:pPr>
              <w:pageBreakBefore w:val="0"/>
              <w:widowControl/>
              <w:kinsoku/>
              <w:overflowPunct/>
              <w:topLinePunct w:val="0"/>
              <w:bidi w:val="0"/>
              <w:adjustRightInd/>
              <w:spacing w:line="6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2.其他法律行政法规禁止公开</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9"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1257"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2701" w:type="dxa"/>
            <w:shd w:val="clear" w:color="auto" w:fill="auto"/>
            <w:tcMar>
              <w:left w:w="108" w:type="dxa"/>
              <w:right w:w="108" w:type="dxa"/>
            </w:tcMar>
            <w:vAlign w:val="center"/>
          </w:tcPr>
          <w:p>
            <w:pPr>
              <w:pageBreakBefore w:val="0"/>
              <w:widowControl/>
              <w:kinsoku/>
              <w:overflowPunct/>
              <w:topLinePunct w:val="0"/>
              <w:bidi w:val="0"/>
              <w:adjustRightInd/>
              <w:spacing w:line="6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3.危及“三安全一稳定”</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9"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1257"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2701" w:type="dxa"/>
            <w:shd w:val="clear" w:color="auto" w:fill="auto"/>
            <w:tcMar>
              <w:left w:w="108" w:type="dxa"/>
              <w:right w:w="108" w:type="dxa"/>
            </w:tcMar>
            <w:vAlign w:val="center"/>
          </w:tcPr>
          <w:p>
            <w:pPr>
              <w:pageBreakBefore w:val="0"/>
              <w:widowControl/>
              <w:kinsoku/>
              <w:overflowPunct/>
              <w:topLinePunct w:val="0"/>
              <w:bidi w:val="0"/>
              <w:adjustRightInd/>
              <w:spacing w:line="6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4.保护第三方合法权益</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1</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9"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1257"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2701" w:type="dxa"/>
            <w:shd w:val="clear" w:color="auto" w:fill="auto"/>
            <w:tcMar>
              <w:left w:w="108" w:type="dxa"/>
              <w:right w:w="108" w:type="dxa"/>
            </w:tcMar>
            <w:vAlign w:val="center"/>
          </w:tcPr>
          <w:p>
            <w:pPr>
              <w:pageBreakBefore w:val="0"/>
              <w:widowControl/>
              <w:kinsoku/>
              <w:overflowPunct/>
              <w:topLinePunct w:val="0"/>
              <w:bidi w:val="0"/>
              <w:adjustRightInd/>
              <w:spacing w:line="6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5.属于三类内部事务信息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9"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1257"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2701" w:type="dxa"/>
            <w:shd w:val="clear" w:color="auto" w:fill="auto"/>
            <w:tcMar>
              <w:left w:w="108" w:type="dxa"/>
              <w:right w:w="108" w:type="dxa"/>
            </w:tcMar>
            <w:vAlign w:val="center"/>
          </w:tcPr>
          <w:p>
            <w:pPr>
              <w:pageBreakBefore w:val="0"/>
              <w:widowControl/>
              <w:kinsoku/>
              <w:overflowPunct/>
              <w:topLinePunct w:val="0"/>
              <w:bidi w:val="0"/>
              <w:adjustRightInd/>
              <w:spacing w:line="6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6.属于四类过程性信息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9"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1257"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2701" w:type="dxa"/>
            <w:shd w:val="clear" w:color="auto" w:fill="auto"/>
            <w:tcMar>
              <w:left w:w="108" w:type="dxa"/>
              <w:right w:w="108" w:type="dxa"/>
            </w:tcMar>
            <w:vAlign w:val="center"/>
          </w:tcPr>
          <w:p>
            <w:pPr>
              <w:pageBreakBefore w:val="0"/>
              <w:widowControl/>
              <w:kinsoku/>
              <w:overflowPunct/>
              <w:topLinePunct w:val="0"/>
              <w:bidi w:val="0"/>
              <w:adjustRightInd/>
              <w:spacing w:line="6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7.属于行政执法案卷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9"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1257"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2701" w:type="dxa"/>
            <w:shd w:val="clear" w:color="auto" w:fill="auto"/>
            <w:tcMar>
              <w:left w:w="108" w:type="dxa"/>
              <w:right w:w="108" w:type="dxa"/>
            </w:tcMar>
            <w:vAlign w:val="center"/>
          </w:tcPr>
          <w:p>
            <w:pPr>
              <w:pageBreakBefore w:val="0"/>
              <w:widowControl/>
              <w:kinsoku/>
              <w:overflowPunct/>
              <w:topLinePunct w:val="0"/>
              <w:bidi w:val="0"/>
              <w:adjustRightInd/>
              <w:spacing w:line="6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8.属于行政查询事项</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9"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1257" w:type="dxa"/>
            <w:vMerge w:val="restart"/>
            <w:shd w:val="clear" w:color="auto" w:fill="auto"/>
            <w:tcMar>
              <w:left w:w="108" w:type="dxa"/>
              <w:right w:w="108" w:type="dxa"/>
            </w:tcMar>
            <w:vAlign w:val="center"/>
          </w:tcPr>
          <w:p>
            <w:pPr>
              <w:pageBreakBefore w:val="0"/>
              <w:widowControl/>
              <w:kinsoku/>
              <w:overflowPunct/>
              <w:topLinePunct w:val="0"/>
              <w:bidi w:val="0"/>
              <w:adjustRightInd/>
              <w:spacing w:line="600" w:lineRule="exact"/>
              <w:ind w:left="-107" w:leftChars="-51"/>
              <w:jc w:val="center"/>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（四）无法提供</w:t>
            </w:r>
          </w:p>
        </w:tc>
        <w:tc>
          <w:tcPr>
            <w:tcW w:w="2701" w:type="dxa"/>
            <w:shd w:val="clear" w:color="auto" w:fill="auto"/>
            <w:tcMar>
              <w:left w:w="108" w:type="dxa"/>
              <w:right w:w="108" w:type="dxa"/>
            </w:tcMar>
            <w:vAlign w:val="center"/>
          </w:tcPr>
          <w:p>
            <w:pPr>
              <w:pageBreakBefore w:val="0"/>
              <w:widowControl/>
              <w:kinsoku/>
              <w:overflowPunct/>
              <w:topLinePunct w:val="0"/>
              <w:bidi w:val="0"/>
              <w:adjustRightInd/>
              <w:spacing w:line="6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1.本机关不掌握相关政府信息</w:t>
            </w:r>
          </w:p>
        </w:tc>
        <w:tc>
          <w:tcPr>
            <w:tcW w:w="829"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5</w:t>
            </w:r>
          </w:p>
        </w:tc>
        <w:tc>
          <w:tcPr>
            <w:tcW w:w="567"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1</w:t>
            </w:r>
          </w:p>
        </w:tc>
        <w:tc>
          <w:tcPr>
            <w:tcW w:w="567"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9"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1257"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ind w:left="-107" w:leftChars="-51"/>
              <w:jc w:val="center"/>
              <w:textAlignment w:val="auto"/>
              <w:rPr>
                <w:rFonts w:hint="default" w:ascii="Times New Roman" w:hAnsi="Times New Roman" w:eastAsia="黑体" w:cs="Times New Roman"/>
                <w:color w:val="auto"/>
                <w:szCs w:val="21"/>
                <w:highlight w:val="none"/>
              </w:rPr>
            </w:pPr>
          </w:p>
        </w:tc>
        <w:tc>
          <w:tcPr>
            <w:tcW w:w="2701" w:type="dxa"/>
            <w:shd w:val="clear" w:color="auto" w:fill="auto"/>
            <w:tcMar>
              <w:left w:w="108" w:type="dxa"/>
              <w:right w:w="108" w:type="dxa"/>
            </w:tcMar>
            <w:vAlign w:val="center"/>
          </w:tcPr>
          <w:p>
            <w:pPr>
              <w:pageBreakBefore w:val="0"/>
              <w:widowControl/>
              <w:kinsoku/>
              <w:overflowPunct/>
              <w:topLinePunct w:val="0"/>
              <w:bidi w:val="0"/>
              <w:adjustRightInd/>
              <w:spacing w:line="6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2.没有现成信息需要另行制作</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9"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1257"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ind w:left="-107" w:leftChars="-51"/>
              <w:jc w:val="center"/>
              <w:textAlignment w:val="auto"/>
              <w:rPr>
                <w:rFonts w:hint="default" w:ascii="Times New Roman" w:hAnsi="Times New Roman" w:eastAsia="黑体" w:cs="Times New Roman"/>
                <w:color w:val="auto"/>
                <w:szCs w:val="21"/>
                <w:highlight w:val="none"/>
              </w:rPr>
            </w:pPr>
          </w:p>
        </w:tc>
        <w:tc>
          <w:tcPr>
            <w:tcW w:w="2701" w:type="dxa"/>
            <w:shd w:val="clear" w:color="auto" w:fill="auto"/>
            <w:tcMar>
              <w:left w:w="108" w:type="dxa"/>
              <w:right w:w="108" w:type="dxa"/>
            </w:tcMar>
            <w:vAlign w:val="center"/>
          </w:tcPr>
          <w:p>
            <w:pPr>
              <w:pageBreakBefore w:val="0"/>
              <w:widowControl/>
              <w:kinsoku/>
              <w:overflowPunct/>
              <w:topLinePunct w:val="0"/>
              <w:bidi w:val="0"/>
              <w:adjustRightInd/>
              <w:spacing w:line="6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3.补正后申请内容仍不明确</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9"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1257" w:type="dxa"/>
            <w:vMerge w:val="restart"/>
            <w:shd w:val="clear" w:color="auto" w:fill="auto"/>
            <w:tcMar>
              <w:left w:w="108" w:type="dxa"/>
              <w:right w:w="108" w:type="dxa"/>
            </w:tcMar>
            <w:vAlign w:val="center"/>
          </w:tcPr>
          <w:p>
            <w:pPr>
              <w:pageBreakBefore w:val="0"/>
              <w:widowControl/>
              <w:kinsoku/>
              <w:overflowPunct/>
              <w:topLinePunct w:val="0"/>
              <w:bidi w:val="0"/>
              <w:adjustRightInd/>
              <w:spacing w:line="600" w:lineRule="exact"/>
              <w:ind w:left="-107" w:leftChars="-51"/>
              <w:jc w:val="center"/>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（五）不予处理</w:t>
            </w:r>
          </w:p>
        </w:tc>
        <w:tc>
          <w:tcPr>
            <w:tcW w:w="2701" w:type="dxa"/>
            <w:shd w:val="clear" w:color="auto" w:fill="auto"/>
            <w:tcMar>
              <w:left w:w="108" w:type="dxa"/>
              <w:right w:w="108" w:type="dxa"/>
            </w:tcMar>
            <w:vAlign w:val="center"/>
          </w:tcPr>
          <w:p>
            <w:pPr>
              <w:pageBreakBefore w:val="0"/>
              <w:widowControl/>
              <w:kinsoku/>
              <w:overflowPunct/>
              <w:topLinePunct w:val="0"/>
              <w:bidi w:val="0"/>
              <w:adjustRightInd/>
              <w:spacing w:line="6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1.信访举报投诉类申请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9"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1257"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2701" w:type="dxa"/>
            <w:shd w:val="clear" w:color="auto" w:fill="auto"/>
            <w:tcMar>
              <w:left w:w="108" w:type="dxa"/>
              <w:right w:w="108" w:type="dxa"/>
            </w:tcMar>
            <w:vAlign w:val="center"/>
          </w:tcPr>
          <w:p>
            <w:pPr>
              <w:pageBreakBefore w:val="0"/>
              <w:widowControl/>
              <w:kinsoku/>
              <w:overflowPunct/>
              <w:topLinePunct w:val="0"/>
              <w:bidi w:val="0"/>
              <w:adjustRightInd/>
              <w:spacing w:line="6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2.重复申请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9"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1257"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2701" w:type="dxa"/>
            <w:shd w:val="clear" w:color="auto" w:fill="auto"/>
            <w:tcMar>
              <w:left w:w="108" w:type="dxa"/>
              <w:right w:w="108" w:type="dxa"/>
            </w:tcMar>
            <w:vAlign w:val="center"/>
          </w:tcPr>
          <w:p>
            <w:pPr>
              <w:pageBreakBefore w:val="0"/>
              <w:widowControl/>
              <w:kinsoku/>
              <w:overflowPunct/>
              <w:topLinePunct w:val="0"/>
              <w:bidi w:val="0"/>
              <w:adjustRightInd/>
              <w:spacing w:line="600" w:lineRule="exact"/>
              <w:jc w:val="left"/>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kern w:val="0"/>
                <w:szCs w:val="21"/>
                <w:highlight w:val="none"/>
              </w:rPr>
              <w:t>3.要求提供公开出版物</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9"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1257"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2701" w:type="dxa"/>
            <w:shd w:val="clear" w:color="auto" w:fill="auto"/>
            <w:tcMar>
              <w:left w:w="108" w:type="dxa"/>
              <w:right w:w="108" w:type="dxa"/>
            </w:tcMar>
            <w:vAlign w:val="center"/>
          </w:tcPr>
          <w:p>
            <w:pPr>
              <w:pageBreakBefore w:val="0"/>
              <w:widowControl/>
              <w:kinsoku/>
              <w:overflowPunct/>
              <w:topLinePunct w:val="0"/>
              <w:bidi w:val="0"/>
              <w:adjustRightInd/>
              <w:spacing w:line="600" w:lineRule="exact"/>
              <w:jc w:val="left"/>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kern w:val="0"/>
                <w:szCs w:val="21"/>
                <w:highlight w:val="none"/>
              </w:rPr>
              <w:t>4.无正当理由大量反复申请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99"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1257"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2701" w:type="dxa"/>
            <w:shd w:val="clear" w:color="auto" w:fill="auto"/>
            <w:tcMar>
              <w:left w:w="108" w:type="dxa"/>
              <w:right w:w="108" w:type="dxa"/>
            </w:tcMar>
            <w:vAlign w:val="center"/>
          </w:tcPr>
          <w:p>
            <w:pPr>
              <w:pageBreakBefore w:val="0"/>
              <w:widowControl/>
              <w:kinsoku/>
              <w:overflowPunct/>
              <w:topLinePunct w:val="0"/>
              <w:bidi w:val="0"/>
              <w:adjustRightInd/>
              <w:spacing w:line="600" w:lineRule="exact"/>
              <w:jc w:val="left"/>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kern w:val="0"/>
                <w:szCs w:val="21"/>
                <w:highlight w:val="none"/>
              </w:rPr>
              <w:t>5.要求行政机关确认或重新出具已获取信息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99"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1257" w:type="dxa"/>
            <w:vMerge w:val="restart"/>
            <w:shd w:val="clear" w:color="auto" w:fill="auto"/>
            <w:tcMar>
              <w:left w:w="108" w:type="dxa"/>
              <w:right w:w="108" w:type="dxa"/>
            </w:tcMar>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（六）其他处理</w:t>
            </w:r>
          </w:p>
        </w:tc>
        <w:tc>
          <w:tcPr>
            <w:tcW w:w="270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1.申请人无正当理由逾期不补正、行政机关不再处理其政府信息公开申请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99"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1257" w:type="dxa"/>
            <w:vMerge w:val="continue"/>
            <w:shd w:val="clear" w:color="auto" w:fill="auto"/>
            <w:tcMar>
              <w:left w:w="108" w:type="dxa"/>
              <w:right w:w="108" w:type="dxa"/>
            </w:tcMar>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kern w:val="0"/>
                <w:szCs w:val="21"/>
                <w:highlight w:val="none"/>
              </w:rPr>
            </w:pPr>
          </w:p>
        </w:tc>
        <w:tc>
          <w:tcPr>
            <w:tcW w:w="2701" w:type="dxa"/>
            <w:shd w:val="clear" w:color="auto" w:fill="auto"/>
            <w:vAlign w:val="center"/>
          </w:tcPr>
          <w:p>
            <w:pPr>
              <w:pageBreakBefore w:val="0"/>
              <w:widowControl/>
              <w:kinsoku/>
              <w:overflowPunct/>
              <w:topLinePunct w:val="0"/>
              <w:bidi w:val="0"/>
              <w:adjustRightInd/>
              <w:spacing w:line="6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highlight w:val="none"/>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9"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1257" w:type="dxa"/>
            <w:vMerge w:val="continue"/>
            <w:shd w:val="clear" w:color="auto" w:fill="auto"/>
            <w:tcMar>
              <w:left w:w="108" w:type="dxa"/>
              <w:right w:w="108" w:type="dxa"/>
            </w:tcMar>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kern w:val="0"/>
                <w:szCs w:val="21"/>
                <w:highlight w:val="none"/>
              </w:rPr>
            </w:pPr>
          </w:p>
        </w:tc>
        <w:tc>
          <w:tcPr>
            <w:tcW w:w="2701" w:type="dxa"/>
            <w:shd w:val="clear" w:color="auto" w:fill="auto"/>
            <w:vAlign w:val="center"/>
          </w:tcPr>
          <w:p>
            <w:pPr>
              <w:pageBreakBefore w:val="0"/>
              <w:widowControl/>
              <w:kinsoku/>
              <w:overflowPunct/>
              <w:topLinePunct w:val="0"/>
              <w:bidi w:val="0"/>
              <w:adjustRightInd/>
              <w:spacing w:line="6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highlight w:val="none"/>
              </w:rPr>
              <w:t>3.其他</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9" w:type="dxa"/>
            <w:vMerge w:val="continue"/>
            <w:shd w:val="clear" w:color="auto" w:fill="auto"/>
            <w:tcMar>
              <w:left w:w="108" w:type="dxa"/>
              <w:right w:w="108" w:type="dxa"/>
            </w:tcMar>
            <w:vAlign w:val="center"/>
          </w:tcPr>
          <w:p>
            <w:pPr>
              <w:pageBreakBefore w:val="0"/>
              <w:kinsoku/>
              <w:overflowPunct/>
              <w:topLinePunct w:val="0"/>
              <w:bidi w:val="0"/>
              <w:adjustRightInd/>
              <w:spacing w:line="600" w:lineRule="exact"/>
              <w:jc w:val="center"/>
              <w:textAlignment w:val="auto"/>
              <w:rPr>
                <w:rFonts w:hint="default" w:ascii="Times New Roman" w:hAnsi="Times New Roman" w:eastAsia="黑体" w:cs="Times New Roman"/>
                <w:color w:val="auto"/>
                <w:szCs w:val="21"/>
                <w:highlight w:val="none"/>
              </w:rPr>
            </w:pPr>
          </w:p>
        </w:tc>
        <w:tc>
          <w:tcPr>
            <w:tcW w:w="3958" w:type="dxa"/>
            <w:gridSpan w:val="2"/>
            <w:shd w:val="clear" w:color="auto" w:fill="auto"/>
            <w:tcMar>
              <w:left w:w="108" w:type="dxa"/>
              <w:right w:w="108" w:type="dxa"/>
            </w:tcMar>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（七）总计</w:t>
            </w:r>
          </w:p>
        </w:tc>
        <w:tc>
          <w:tcPr>
            <w:tcW w:w="829"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29</w:t>
            </w:r>
          </w:p>
        </w:tc>
        <w:tc>
          <w:tcPr>
            <w:tcW w:w="567"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1</w:t>
            </w:r>
          </w:p>
        </w:tc>
        <w:tc>
          <w:tcPr>
            <w:tcW w:w="567"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7" w:type="dxa"/>
            <w:gridSpan w:val="3"/>
            <w:shd w:val="clear" w:color="auto" w:fill="auto"/>
            <w:tcMar>
              <w:left w:w="108" w:type="dxa"/>
              <w:right w:w="108" w:type="dxa"/>
            </w:tcMar>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四、结转下年度继续办理</w:t>
            </w:r>
          </w:p>
        </w:tc>
        <w:tc>
          <w:tcPr>
            <w:tcW w:w="829"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31"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708"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567"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c>
          <w:tcPr>
            <w:tcW w:w="650" w:type="dxa"/>
            <w:shd w:val="clear" w:color="auto" w:fill="auto"/>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0</w:t>
            </w:r>
          </w:p>
        </w:tc>
      </w:tr>
    </w:tbl>
    <w:p>
      <w:pPr>
        <w:pStyle w:val="3"/>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黑体" w:cs="Times New Roman"/>
          <w:b w:val="0"/>
          <w:bCs w:val="0"/>
          <w:color w:val="auto"/>
          <w:highlight w:val="none"/>
          <w:lang w:eastAsia="zh-CN"/>
        </w:rPr>
        <w:t>四、政府信息公开行政复议、行政诉讼情况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kern w:val="0"/>
                <w:sz w:val="20"/>
                <w:szCs w:val="20"/>
                <w:highlight w:val="none"/>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kern w:val="0"/>
                <w:sz w:val="20"/>
                <w:szCs w:val="20"/>
                <w:highlight w:val="none"/>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ageBreakBefore w:val="0"/>
              <w:widowControl/>
              <w:kinsoku/>
              <w:overflowPunct/>
              <w:topLinePunct w:val="0"/>
              <w:bidi w:val="0"/>
              <w:adjustRightInd/>
              <w:spacing w:line="600" w:lineRule="exact"/>
              <w:ind w:left="-149" w:leftChars="-71" w:right="-170" w:rightChars="-81"/>
              <w:jc w:val="center"/>
              <w:textAlignment w:val="auto"/>
              <w:rPr>
                <w:rFonts w:hint="default" w:ascii="Times New Roman" w:hAnsi="Times New Roman" w:eastAsia="黑体" w:cs="Times New Roman"/>
                <w:color w:val="auto"/>
                <w:kern w:val="0"/>
                <w:sz w:val="20"/>
                <w:szCs w:val="20"/>
                <w:highlight w:val="none"/>
              </w:rPr>
            </w:pPr>
            <w:r>
              <w:rPr>
                <w:rFonts w:hint="default" w:ascii="Times New Roman" w:hAnsi="Times New Roman" w:eastAsia="黑体" w:cs="Times New Roman"/>
                <w:color w:val="auto"/>
                <w:kern w:val="0"/>
                <w:sz w:val="20"/>
                <w:szCs w:val="20"/>
                <w:highlight w:val="none"/>
              </w:rPr>
              <w:t>结果</w:t>
            </w:r>
          </w:p>
          <w:p>
            <w:pPr>
              <w:pageBreakBefore w:val="0"/>
              <w:widowControl/>
              <w:kinsoku/>
              <w:overflowPunct/>
              <w:topLinePunct w:val="0"/>
              <w:bidi w:val="0"/>
              <w:adjustRightInd/>
              <w:spacing w:line="600" w:lineRule="exact"/>
              <w:ind w:left="-149" w:leftChars="-71" w:right="-170" w:rightChars="-81"/>
              <w:jc w:val="center"/>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kern w:val="0"/>
                <w:sz w:val="20"/>
                <w:szCs w:val="20"/>
                <w:highlight w:val="none"/>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ageBreakBefore w:val="0"/>
              <w:widowControl/>
              <w:kinsoku/>
              <w:overflowPunct/>
              <w:topLinePunct w:val="0"/>
              <w:bidi w:val="0"/>
              <w:adjustRightInd/>
              <w:spacing w:line="600" w:lineRule="exact"/>
              <w:ind w:left="-43" w:leftChars="-21" w:right="-132" w:rightChars="-63" w:hanging="1"/>
              <w:jc w:val="center"/>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kern w:val="0"/>
                <w:sz w:val="20"/>
                <w:szCs w:val="20"/>
                <w:highlight w:val="none"/>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ageBreakBefore w:val="0"/>
              <w:widowControl/>
              <w:kinsoku/>
              <w:overflowPunct/>
              <w:topLinePunct w:val="0"/>
              <w:bidi w:val="0"/>
              <w:adjustRightInd/>
              <w:spacing w:line="600" w:lineRule="exact"/>
              <w:ind w:left="-82" w:leftChars="-39" w:right="-97" w:rightChars="-46"/>
              <w:jc w:val="center"/>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kern w:val="0"/>
                <w:sz w:val="20"/>
                <w:szCs w:val="20"/>
                <w:highlight w:val="none"/>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ageBreakBefore w:val="0"/>
              <w:widowControl/>
              <w:kinsoku/>
              <w:overflowPunct/>
              <w:topLinePunct w:val="0"/>
              <w:bidi w:val="0"/>
              <w:adjustRightInd/>
              <w:spacing w:line="600" w:lineRule="exact"/>
              <w:ind w:left="-118" w:leftChars="-56" w:right="-118" w:rightChars="-56"/>
              <w:jc w:val="center"/>
              <w:textAlignment w:val="auto"/>
              <w:rPr>
                <w:rFonts w:hint="default" w:ascii="Times New Roman" w:hAnsi="Times New Roman" w:eastAsia="黑体" w:cs="Times New Roman"/>
                <w:color w:val="auto"/>
                <w:kern w:val="0"/>
                <w:sz w:val="20"/>
                <w:szCs w:val="20"/>
                <w:highlight w:val="none"/>
              </w:rPr>
            </w:pPr>
            <w:r>
              <w:rPr>
                <w:rFonts w:hint="default" w:ascii="Times New Roman" w:hAnsi="Times New Roman" w:eastAsia="黑体" w:cs="Times New Roman"/>
                <w:color w:val="auto"/>
                <w:kern w:val="0"/>
                <w:sz w:val="20"/>
                <w:szCs w:val="20"/>
                <w:highlight w:val="none"/>
              </w:rPr>
              <w:t>尚未</w:t>
            </w:r>
          </w:p>
          <w:p>
            <w:pPr>
              <w:pageBreakBefore w:val="0"/>
              <w:widowControl/>
              <w:kinsoku/>
              <w:overflowPunct/>
              <w:topLinePunct w:val="0"/>
              <w:bidi w:val="0"/>
              <w:adjustRightInd/>
              <w:spacing w:line="600" w:lineRule="exact"/>
              <w:ind w:left="-118" w:leftChars="-56" w:right="-118" w:rightChars="-56"/>
              <w:jc w:val="center"/>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kern w:val="0"/>
                <w:sz w:val="20"/>
                <w:szCs w:val="20"/>
                <w:highlight w:val="none"/>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kern w:val="0"/>
                <w:sz w:val="20"/>
                <w:szCs w:val="20"/>
                <w:highlight w:val="none"/>
              </w:rPr>
            </w:pPr>
            <w:r>
              <w:rPr>
                <w:rFonts w:hint="default" w:ascii="Times New Roman" w:hAnsi="Times New Roman" w:eastAsia="黑体" w:cs="Times New Roman"/>
                <w:color w:val="auto"/>
                <w:kern w:val="0"/>
                <w:sz w:val="20"/>
                <w:szCs w:val="20"/>
                <w:highlight w:val="none"/>
              </w:rPr>
              <w:t>总</w:t>
            </w:r>
          </w:p>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kern w:val="0"/>
                <w:sz w:val="20"/>
                <w:szCs w:val="20"/>
                <w:highlight w:val="none"/>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kern w:val="0"/>
                <w:sz w:val="20"/>
                <w:szCs w:val="20"/>
                <w:highlight w:val="none"/>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kern w:val="0"/>
                <w:sz w:val="20"/>
                <w:szCs w:val="20"/>
                <w:highlight w:val="none"/>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ageBreakBefore w:val="0"/>
              <w:kinsoku/>
              <w:overflowPunct/>
              <w:topLinePunct w:val="0"/>
              <w:bidi w:val="0"/>
              <w:adjustRightInd/>
              <w:spacing w:line="600" w:lineRule="exact"/>
              <w:textAlignment w:val="auto"/>
              <w:rPr>
                <w:rFonts w:hint="default" w:ascii="Times New Roman" w:hAnsi="Times New Roman" w:eastAsia="黑体" w:cs="Times New Roman"/>
                <w:color w:val="auto"/>
                <w:sz w:val="24"/>
                <w:highlight w:val="none"/>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pageBreakBefore w:val="0"/>
              <w:kinsoku/>
              <w:overflowPunct/>
              <w:topLinePunct w:val="0"/>
              <w:bidi w:val="0"/>
              <w:adjustRightInd/>
              <w:spacing w:line="600" w:lineRule="exact"/>
              <w:textAlignment w:val="auto"/>
              <w:rPr>
                <w:rFonts w:hint="default" w:ascii="Times New Roman" w:hAnsi="Times New Roman" w:eastAsia="黑体" w:cs="Times New Roman"/>
                <w:color w:val="auto"/>
                <w:sz w:val="24"/>
                <w:highlight w:val="none"/>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ageBreakBefore w:val="0"/>
              <w:kinsoku/>
              <w:overflowPunct/>
              <w:topLinePunct w:val="0"/>
              <w:bidi w:val="0"/>
              <w:adjustRightInd/>
              <w:spacing w:line="600" w:lineRule="exact"/>
              <w:textAlignment w:val="auto"/>
              <w:rPr>
                <w:rFonts w:hint="default" w:ascii="Times New Roman" w:hAnsi="Times New Roman" w:eastAsia="黑体" w:cs="Times New Roman"/>
                <w:color w:val="auto"/>
                <w:sz w:val="24"/>
                <w:highlight w:val="none"/>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ageBreakBefore w:val="0"/>
              <w:kinsoku/>
              <w:overflowPunct/>
              <w:topLinePunct w:val="0"/>
              <w:bidi w:val="0"/>
              <w:adjustRightInd/>
              <w:spacing w:line="600" w:lineRule="exact"/>
              <w:textAlignment w:val="auto"/>
              <w:rPr>
                <w:rFonts w:hint="default" w:ascii="Times New Roman" w:hAnsi="Times New Roman" w:eastAsia="黑体" w:cs="Times New Roman"/>
                <w:color w:val="auto"/>
                <w:sz w:val="24"/>
                <w:highlight w:val="none"/>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ageBreakBefore w:val="0"/>
              <w:kinsoku/>
              <w:overflowPunct/>
              <w:topLinePunct w:val="0"/>
              <w:bidi w:val="0"/>
              <w:adjustRightInd/>
              <w:spacing w:line="600" w:lineRule="exact"/>
              <w:textAlignment w:val="auto"/>
              <w:rPr>
                <w:rFonts w:hint="default" w:ascii="Times New Roman" w:hAnsi="Times New Roman" w:eastAsia="黑体" w:cs="Times New Roman"/>
                <w:color w:val="auto"/>
                <w:sz w:val="24"/>
                <w:highlight w:val="none"/>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pageBreakBefore w:val="0"/>
              <w:widowControl/>
              <w:kinsoku/>
              <w:overflowPunct/>
              <w:topLinePunct w:val="0"/>
              <w:bidi w:val="0"/>
              <w:adjustRightInd/>
              <w:spacing w:line="600" w:lineRule="exact"/>
              <w:ind w:left="-105" w:leftChars="-50" w:right="-126" w:rightChars="-60"/>
              <w:jc w:val="center"/>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kern w:val="0"/>
                <w:sz w:val="20"/>
                <w:szCs w:val="20"/>
                <w:highlight w:val="none"/>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ageBreakBefore w:val="0"/>
              <w:widowControl/>
              <w:kinsoku/>
              <w:overflowPunct/>
              <w:topLinePunct w:val="0"/>
              <w:bidi w:val="0"/>
              <w:adjustRightInd/>
              <w:spacing w:line="600" w:lineRule="exact"/>
              <w:ind w:left="-86" w:leftChars="-41" w:right="-88" w:rightChars="-42"/>
              <w:jc w:val="center"/>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kern w:val="0"/>
                <w:sz w:val="20"/>
                <w:szCs w:val="20"/>
                <w:highlight w:val="none"/>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ageBreakBefore w:val="0"/>
              <w:widowControl/>
              <w:kinsoku/>
              <w:overflowPunct/>
              <w:topLinePunct w:val="0"/>
              <w:bidi w:val="0"/>
              <w:adjustRightInd/>
              <w:spacing w:line="600" w:lineRule="exact"/>
              <w:ind w:left="-126" w:leftChars="-60" w:right="-136" w:rightChars="-65"/>
              <w:jc w:val="center"/>
              <w:textAlignment w:val="auto"/>
              <w:rPr>
                <w:rFonts w:hint="default" w:ascii="Times New Roman" w:hAnsi="Times New Roman" w:eastAsia="黑体" w:cs="Times New Roman"/>
                <w:color w:val="auto"/>
                <w:kern w:val="0"/>
                <w:sz w:val="20"/>
                <w:szCs w:val="20"/>
                <w:highlight w:val="none"/>
              </w:rPr>
            </w:pPr>
            <w:r>
              <w:rPr>
                <w:rFonts w:hint="default" w:ascii="Times New Roman" w:hAnsi="Times New Roman" w:eastAsia="黑体" w:cs="Times New Roman"/>
                <w:color w:val="auto"/>
                <w:kern w:val="0"/>
                <w:sz w:val="20"/>
                <w:szCs w:val="20"/>
                <w:highlight w:val="none"/>
              </w:rPr>
              <w:t>其他</w:t>
            </w:r>
          </w:p>
          <w:p>
            <w:pPr>
              <w:pageBreakBefore w:val="0"/>
              <w:widowControl/>
              <w:kinsoku/>
              <w:overflowPunct/>
              <w:topLinePunct w:val="0"/>
              <w:bidi w:val="0"/>
              <w:adjustRightInd/>
              <w:spacing w:line="600" w:lineRule="exact"/>
              <w:ind w:left="-126" w:leftChars="-60" w:right="-136" w:rightChars="-65"/>
              <w:jc w:val="center"/>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kern w:val="0"/>
                <w:sz w:val="20"/>
                <w:szCs w:val="20"/>
                <w:highlight w:val="none"/>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ageBreakBefore w:val="0"/>
              <w:widowControl/>
              <w:kinsoku/>
              <w:overflowPunct/>
              <w:topLinePunct w:val="0"/>
              <w:bidi w:val="0"/>
              <w:adjustRightInd/>
              <w:spacing w:line="600" w:lineRule="exact"/>
              <w:ind w:left="-164" w:leftChars="-78" w:right="-153" w:rightChars="-73"/>
              <w:jc w:val="center"/>
              <w:textAlignment w:val="auto"/>
              <w:rPr>
                <w:rFonts w:hint="default" w:ascii="Times New Roman" w:hAnsi="Times New Roman" w:eastAsia="黑体" w:cs="Times New Roman"/>
                <w:color w:val="auto"/>
                <w:kern w:val="0"/>
                <w:sz w:val="20"/>
                <w:szCs w:val="20"/>
                <w:highlight w:val="none"/>
              </w:rPr>
            </w:pPr>
            <w:r>
              <w:rPr>
                <w:rFonts w:hint="default" w:ascii="Times New Roman" w:hAnsi="Times New Roman" w:eastAsia="黑体" w:cs="Times New Roman"/>
                <w:color w:val="auto"/>
                <w:kern w:val="0"/>
                <w:sz w:val="20"/>
                <w:szCs w:val="20"/>
                <w:highlight w:val="none"/>
              </w:rPr>
              <w:t>尚未</w:t>
            </w:r>
          </w:p>
          <w:p>
            <w:pPr>
              <w:pageBreakBefore w:val="0"/>
              <w:widowControl/>
              <w:kinsoku/>
              <w:overflowPunct/>
              <w:topLinePunct w:val="0"/>
              <w:bidi w:val="0"/>
              <w:adjustRightInd/>
              <w:spacing w:line="600" w:lineRule="exact"/>
              <w:ind w:left="-164" w:leftChars="-78" w:right="-153" w:rightChars="-73"/>
              <w:jc w:val="center"/>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kern w:val="0"/>
                <w:sz w:val="20"/>
                <w:szCs w:val="20"/>
                <w:highlight w:val="none"/>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kern w:val="0"/>
                <w:sz w:val="20"/>
                <w:szCs w:val="20"/>
                <w:highlight w:val="none"/>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ageBreakBefore w:val="0"/>
              <w:widowControl/>
              <w:kinsoku/>
              <w:overflowPunct/>
              <w:topLinePunct w:val="0"/>
              <w:bidi w:val="0"/>
              <w:adjustRightInd/>
              <w:spacing w:line="600" w:lineRule="exact"/>
              <w:ind w:left="-99" w:leftChars="-47" w:right="-78" w:rightChars="-37"/>
              <w:jc w:val="center"/>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kern w:val="0"/>
                <w:sz w:val="20"/>
                <w:szCs w:val="20"/>
                <w:highlight w:val="none"/>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ageBreakBefore w:val="0"/>
              <w:widowControl/>
              <w:kinsoku/>
              <w:overflowPunct/>
              <w:topLinePunct w:val="0"/>
              <w:bidi w:val="0"/>
              <w:adjustRightInd/>
              <w:spacing w:line="600" w:lineRule="exact"/>
              <w:ind w:left="-136" w:leftChars="-65" w:right="-124" w:rightChars="-59"/>
              <w:jc w:val="center"/>
              <w:textAlignment w:val="auto"/>
              <w:rPr>
                <w:rFonts w:hint="default" w:ascii="Times New Roman" w:hAnsi="Times New Roman" w:eastAsia="黑体" w:cs="Times New Roman"/>
                <w:color w:val="auto"/>
                <w:kern w:val="0"/>
                <w:sz w:val="20"/>
                <w:szCs w:val="20"/>
                <w:highlight w:val="none"/>
              </w:rPr>
            </w:pPr>
            <w:r>
              <w:rPr>
                <w:rFonts w:hint="default" w:ascii="Times New Roman" w:hAnsi="Times New Roman" w:eastAsia="黑体" w:cs="Times New Roman"/>
                <w:color w:val="auto"/>
                <w:kern w:val="0"/>
                <w:sz w:val="20"/>
                <w:szCs w:val="20"/>
                <w:highlight w:val="none"/>
              </w:rPr>
              <w:t>结果</w:t>
            </w:r>
          </w:p>
          <w:p>
            <w:pPr>
              <w:pageBreakBefore w:val="0"/>
              <w:widowControl/>
              <w:kinsoku/>
              <w:overflowPunct/>
              <w:topLinePunct w:val="0"/>
              <w:bidi w:val="0"/>
              <w:adjustRightInd/>
              <w:spacing w:line="600" w:lineRule="exact"/>
              <w:ind w:left="-136" w:leftChars="-65" w:right="-124" w:rightChars="-59"/>
              <w:jc w:val="center"/>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kern w:val="0"/>
                <w:sz w:val="20"/>
                <w:szCs w:val="20"/>
                <w:highlight w:val="none"/>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ageBreakBefore w:val="0"/>
              <w:widowControl/>
              <w:kinsoku/>
              <w:overflowPunct/>
              <w:topLinePunct w:val="0"/>
              <w:bidi w:val="0"/>
              <w:adjustRightInd/>
              <w:spacing w:line="600" w:lineRule="exact"/>
              <w:ind w:left="-173" w:leftChars="-83" w:right="-134" w:rightChars="-64" w:hanging="1"/>
              <w:jc w:val="center"/>
              <w:textAlignment w:val="auto"/>
              <w:rPr>
                <w:rFonts w:hint="default" w:ascii="Times New Roman" w:hAnsi="Times New Roman" w:eastAsia="黑体" w:cs="Times New Roman"/>
                <w:color w:val="auto"/>
                <w:kern w:val="0"/>
                <w:sz w:val="20"/>
                <w:szCs w:val="20"/>
                <w:highlight w:val="none"/>
              </w:rPr>
            </w:pPr>
            <w:r>
              <w:rPr>
                <w:rFonts w:hint="default" w:ascii="Times New Roman" w:hAnsi="Times New Roman" w:eastAsia="黑体" w:cs="Times New Roman"/>
                <w:color w:val="auto"/>
                <w:kern w:val="0"/>
                <w:sz w:val="20"/>
                <w:szCs w:val="20"/>
                <w:highlight w:val="none"/>
              </w:rPr>
              <w:t>其他</w:t>
            </w:r>
          </w:p>
          <w:p>
            <w:pPr>
              <w:pageBreakBefore w:val="0"/>
              <w:widowControl/>
              <w:kinsoku/>
              <w:overflowPunct/>
              <w:topLinePunct w:val="0"/>
              <w:bidi w:val="0"/>
              <w:adjustRightInd/>
              <w:spacing w:line="600" w:lineRule="exact"/>
              <w:ind w:left="-173" w:leftChars="-83" w:right="-134" w:rightChars="-64" w:hanging="1"/>
              <w:jc w:val="center"/>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kern w:val="0"/>
                <w:sz w:val="20"/>
                <w:szCs w:val="20"/>
                <w:highlight w:val="none"/>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ageBreakBefore w:val="0"/>
              <w:widowControl/>
              <w:kinsoku/>
              <w:overflowPunct/>
              <w:topLinePunct w:val="0"/>
              <w:bidi w:val="0"/>
              <w:adjustRightInd/>
              <w:spacing w:line="600" w:lineRule="exact"/>
              <w:ind w:left="-67" w:leftChars="-33" w:right="-105" w:rightChars="-50" w:hanging="2" w:hangingChars="1"/>
              <w:jc w:val="center"/>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kern w:val="0"/>
                <w:sz w:val="20"/>
                <w:szCs w:val="20"/>
                <w:highlight w:val="none"/>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ageBreakBefore w:val="0"/>
              <w:widowControl/>
              <w:kinsoku/>
              <w:overflowPunct/>
              <w:topLinePunct w:val="0"/>
              <w:bidi w:val="0"/>
              <w:adjustRightInd/>
              <w:spacing w:line="600" w:lineRule="exact"/>
              <w:jc w:val="center"/>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kern w:val="0"/>
                <w:sz w:val="20"/>
                <w:szCs w:val="20"/>
                <w:highlight w:val="none"/>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rightChars="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lang w:val="en-US" w:eastAsia="zh-CN"/>
              </w:rPr>
              <w:t>3</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lang w:val="en-US" w:eastAsia="zh-CN"/>
              </w:rPr>
              <w:t>4</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黑体" w:cs="Times New Roman"/>
          <w:i w:val="0"/>
          <w:iCs w:val="0"/>
          <w:caps w:val="0"/>
          <w:color w:val="000000"/>
          <w:spacing w:val="0"/>
          <w:kern w:val="0"/>
          <w:sz w:val="32"/>
          <w:szCs w:val="32"/>
          <w:lang w:val="en-US" w:eastAsia="zh-CN" w:bidi="ar"/>
        </w:rPr>
      </w:pPr>
      <w:r>
        <w:rPr>
          <w:rFonts w:hint="default" w:ascii="Times New Roman" w:hAnsi="Times New Roman" w:eastAsia="黑体" w:cs="Times New Roman"/>
          <w:i w:val="0"/>
          <w:iCs w:val="0"/>
          <w:caps w:val="0"/>
          <w:color w:val="000000"/>
          <w:spacing w:val="0"/>
          <w:kern w:val="0"/>
          <w:sz w:val="32"/>
          <w:szCs w:val="32"/>
          <w:lang w:val="en-US" w:eastAsia="zh-CN" w:bidi="ar"/>
        </w:rPr>
        <w:t>五、存在的主要问题及改进情况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lang w:val="en-US" w:eastAsia="zh-CN" w:bidi="ar"/>
        </w:rPr>
        <w:t>2025年，区自然资源局立足部门职能，稳步推进政府信息公开各项工作，在规范公开流程、提升公开时效上取得了一定进展，但面对新时代政务公开工作高质量发展的新部署、新要求，对照群众日益增长的信息获取精准化、便捷化需求，仍存在一些突出短板和不足。一是信息公开内容质量有待提升，公开范围虽基本覆盖核心业务，但部分科室存在“重公开、轻实效”的倾向，公开内容多以常规工作动态为主，对群众关切度高的自然资源审批流程、政策解读、民生保障等相关信息，公开的深度和细化程度不足，未能充分回应群众核心诉求，未能实现公开内容与群众需求的精准对接。二是政策解读质效不高，公开的政策文件多以原文刊发为主，缺乏通俗易懂、直观易懂的解读材料，解读形式较为单一，未能结合群众理解能力，用通俗语言、案例解析等方式解读政策要点，导致部分群众对自然资源领域相关政策理解不透彻、把握不精准，政策公开的实际效果打折扣。三是信息公开回应关切不够及时，对群众通过依申请公开、咨询留言等渠道反映的信息需求，部分回复存在针对性不强、解释不够细致的问题，且缺乏常态化的回应反馈机制，未能及时跟踪群众诉求解决情况，难以充分满足群众对信息公开工作的个性化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lang w:val="en-US" w:eastAsia="zh-CN" w:bidi="ar"/>
        </w:rPr>
        <w:t>针对以上查摆的突出问题，区自然资源局将坚持问题导向、目标导向、结果导向相统一，强化责任担当、狠抓整改提升，从三个方面推动政务信息公开工作提质增效、提档升级，彻底改变与往年工作表述雷同的现状。一是提质增效优化公开内容，坚持以群众需求为核心，聚焦自然资源领域重点工作、关键环节和群众急难愁盼问题，重新梳理公开清单，细化公开内容、丰富公开维度，重点加强政策解读、审批流程、办事指南等实用信息的公开，杜绝“形式化公开”，确保公开信息更具针对性、实用性和可读性，切实回应群众关切。二是强化政策解读提质增效，转变政策解读思路，丰富解读形式、提升解读质量，对公开的重要政策文件，同步编制通俗易懂的解读材料，采用文字解读、案例解析、问答互动等多种形式，清晰解读政策背景、核心要点、办理流程及注意事项，确保政策解读接地气、易理解，帮助群众精准把握政策内涵，切实提升政策公开的实际成效。三是健全回应反馈机制，聚焦群众信息需求，规范依申请公开、咨询留言等渠道的回复流程，明确回复时限和质量标准，要求回复内容精准细致、通俗易懂，针对性解决群众疑问。建立常态化跟踪反馈机制，对群众诉求解决情况进行后续跟进，及时收集群众意见建议，持续优化信息公开服务，切实提升群众满意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黑体" w:cs="Times New Roman"/>
          <w:i w:val="0"/>
          <w:iCs w:val="0"/>
          <w:caps w:val="0"/>
          <w:color w:val="000000"/>
          <w:spacing w:val="0"/>
          <w:kern w:val="0"/>
          <w:sz w:val="32"/>
          <w:szCs w:val="32"/>
          <w:lang w:val="en-US" w:eastAsia="zh-CN" w:bidi="ar"/>
        </w:rPr>
      </w:pPr>
      <w:r>
        <w:rPr>
          <w:rFonts w:hint="default" w:ascii="Times New Roman" w:hAnsi="Times New Roman" w:eastAsia="黑体" w:cs="Times New Roman"/>
          <w:i w:val="0"/>
          <w:iCs w:val="0"/>
          <w:caps w:val="0"/>
          <w:color w:val="000000"/>
          <w:spacing w:val="0"/>
          <w:kern w:val="0"/>
          <w:sz w:val="32"/>
          <w:szCs w:val="32"/>
          <w:lang w:val="en-US" w:eastAsia="zh-CN" w:bidi="ar"/>
        </w:rPr>
        <w:t>六、其他需要报告的事项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lang w:val="en-US" w:eastAsia="zh-CN" w:bidi="ar"/>
        </w:rPr>
        <w:t>本部分主要报告本行政机关认为需要报告的其他事项，以及其他有关文件专门要求通过政府信息公开工作年度报告予以报告的事项：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楷体_GB2312" w:cs="Times New Roman"/>
          <w:i w:val="0"/>
          <w:iCs w:val="0"/>
          <w:caps w:val="0"/>
          <w:color w:val="000000"/>
          <w:spacing w:val="0"/>
          <w:kern w:val="0"/>
          <w:sz w:val="32"/>
          <w:szCs w:val="32"/>
          <w:lang w:val="en-US" w:eastAsia="zh-CN" w:bidi="ar"/>
        </w:rPr>
      </w:pPr>
      <w:r>
        <w:rPr>
          <w:rFonts w:hint="default" w:ascii="Times New Roman" w:hAnsi="Times New Roman" w:eastAsia="楷体_GB2312" w:cs="Times New Roman"/>
          <w:i w:val="0"/>
          <w:iCs w:val="0"/>
          <w:caps w:val="0"/>
          <w:color w:val="000000"/>
          <w:spacing w:val="0"/>
          <w:kern w:val="0"/>
          <w:sz w:val="32"/>
          <w:szCs w:val="32"/>
          <w:lang w:val="en-US" w:eastAsia="zh-CN" w:bidi="ar"/>
        </w:rPr>
        <w:t>（一）依申请公开信息处理费收费情况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依据《政府信息公开信息处理费管理办法》要求，2025年度，区自然资源局未收取政府信息公开信息处理费。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楷体_GB2312" w:cs="Times New Roman"/>
          <w:i w:val="0"/>
          <w:iCs w:val="0"/>
          <w:caps w:val="0"/>
          <w:color w:val="000000"/>
          <w:spacing w:val="0"/>
          <w:kern w:val="0"/>
          <w:sz w:val="32"/>
          <w:szCs w:val="32"/>
          <w:lang w:val="en-US" w:eastAsia="zh-CN" w:bidi="ar"/>
        </w:rPr>
      </w:pPr>
      <w:r>
        <w:rPr>
          <w:rFonts w:hint="default" w:ascii="Times New Roman" w:hAnsi="Times New Roman" w:eastAsia="楷体_GB2312" w:cs="Times New Roman"/>
          <w:i w:val="0"/>
          <w:iCs w:val="0"/>
          <w:caps w:val="0"/>
          <w:color w:val="000000"/>
          <w:spacing w:val="0"/>
          <w:kern w:val="0"/>
          <w:sz w:val="32"/>
          <w:szCs w:val="32"/>
          <w:lang w:val="en-US" w:eastAsia="zh-CN" w:bidi="ar"/>
        </w:rPr>
        <w:t>（二）落实上级年度政务公开工作要点情况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2025年度，区自然资源局严格对标上级政务公开工作部署要求，提高政治站位、强化责任担当，深入学习领会省、市、区三级政务公开工作要点精神，将其全面贯穿于全局信息公开工作全过程、各环节。工作中始终坚守以人民为中心的公开理念，精准明确工作重心，细化完善工作举措，严格规范公开流程，切实强化风险防控，牢牢把握政府信息公开作为推进依法行政、建设服务型政府的关键基础性制度定位。持续加大主动公开力度，不断激发工作内生动力，切实增强工作的积极性与主动性，以更坚定的决心、更务实的举措，推动全局政务公开工作提质增效、走深走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楷体_GB2312" w:cs="Times New Roman"/>
          <w:i w:val="0"/>
          <w:iCs w:val="0"/>
          <w:caps w:val="0"/>
          <w:color w:val="000000"/>
          <w:spacing w:val="0"/>
          <w:kern w:val="0"/>
          <w:sz w:val="32"/>
          <w:szCs w:val="32"/>
          <w:lang w:val="en-US" w:eastAsia="zh-CN" w:bidi="ar"/>
        </w:rPr>
      </w:pPr>
      <w:r>
        <w:rPr>
          <w:rFonts w:hint="default" w:ascii="Times New Roman" w:hAnsi="Times New Roman" w:eastAsia="楷体_GB2312" w:cs="Times New Roman"/>
          <w:i w:val="0"/>
          <w:iCs w:val="0"/>
          <w:caps w:val="0"/>
          <w:color w:val="000000"/>
          <w:spacing w:val="0"/>
          <w:kern w:val="0"/>
          <w:sz w:val="32"/>
          <w:szCs w:val="32"/>
          <w:lang w:val="en-US" w:eastAsia="zh-CN" w:bidi="ar"/>
        </w:rPr>
        <w:t>（三）人大代表建议和政协委员提案办理情况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宋体" w:cs="Times New Roman"/>
          <w:i w:val="0"/>
          <w:iCs w:val="0"/>
          <w:caps w:val="0"/>
          <w:color w:val="000000"/>
          <w:spacing w:val="0"/>
          <w:sz w:val="32"/>
          <w:szCs w:val="32"/>
          <w:highlight w:val="none"/>
          <w:shd w:val="clear" w:fill="FFFFFF"/>
        </w:rPr>
        <w:t>202</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5</w:t>
      </w:r>
      <w:r>
        <w:rPr>
          <w:rFonts w:hint="default" w:ascii="Times New Roman" w:hAnsi="Times New Roman" w:eastAsia="仿宋_GB2312" w:cs="Times New Roman"/>
          <w:i w:val="0"/>
          <w:iCs w:val="0"/>
          <w:caps w:val="0"/>
          <w:color w:val="000000"/>
          <w:spacing w:val="0"/>
          <w:sz w:val="32"/>
          <w:szCs w:val="32"/>
          <w:highlight w:val="none"/>
          <w:shd w:val="clear" w:fill="FFFFFF"/>
        </w:rPr>
        <w:t>年</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我局收到区人大十三届人民代表大会第</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四</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次会议交办件共</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5</w:t>
      </w:r>
      <w:r>
        <w:rPr>
          <w:rFonts w:hint="default" w:ascii="Times New Roman" w:hAnsi="Times New Roman" w:eastAsia="仿宋_GB2312" w:cs="Times New Roman"/>
          <w:i w:val="0"/>
          <w:iCs w:val="0"/>
          <w:caps w:val="0"/>
          <w:color w:val="000000"/>
          <w:spacing w:val="0"/>
          <w:sz w:val="32"/>
          <w:szCs w:val="32"/>
          <w:highlight w:val="none"/>
          <w:shd w:val="clear" w:fill="FFFFFF"/>
        </w:rPr>
        <w:t>件，</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3</w:t>
      </w:r>
      <w:r>
        <w:rPr>
          <w:rFonts w:hint="default" w:ascii="Times New Roman" w:hAnsi="Times New Roman" w:eastAsia="仿宋_GB2312" w:cs="Times New Roman"/>
          <w:i w:val="0"/>
          <w:iCs w:val="0"/>
          <w:caps w:val="0"/>
          <w:color w:val="000000"/>
          <w:spacing w:val="0"/>
          <w:sz w:val="32"/>
          <w:szCs w:val="32"/>
          <w:highlight w:val="none"/>
          <w:shd w:val="clear" w:fill="FFFFFF"/>
        </w:rPr>
        <w:t>件为主办件，协办提案</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2</w:t>
      </w:r>
      <w:r>
        <w:rPr>
          <w:rFonts w:hint="default" w:ascii="Times New Roman" w:hAnsi="Times New Roman" w:eastAsia="仿宋_GB2312" w:cs="Times New Roman"/>
          <w:i w:val="0"/>
          <w:iCs w:val="0"/>
          <w:caps w:val="0"/>
          <w:color w:val="000000"/>
          <w:spacing w:val="0"/>
          <w:sz w:val="32"/>
          <w:szCs w:val="32"/>
          <w:highlight w:val="none"/>
          <w:shd w:val="clear" w:fill="FFFFFF"/>
        </w:rPr>
        <w:t>件；区政协十届四次会议共交办我局提案</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共</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5</w:t>
      </w:r>
      <w:r>
        <w:rPr>
          <w:rFonts w:hint="default" w:ascii="Times New Roman" w:hAnsi="Times New Roman" w:eastAsia="仿宋_GB2312" w:cs="Times New Roman"/>
          <w:i w:val="0"/>
          <w:iCs w:val="0"/>
          <w:caps w:val="0"/>
          <w:color w:val="000000"/>
          <w:spacing w:val="0"/>
          <w:sz w:val="32"/>
          <w:szCs w:val="32"/>
          <w:highlight w:val="none"/>
          <w:shd w:val="clear" w:fill="FFFFFF"/>
        </w:rPr>
        <w:t>件，</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1</w:t>
      </w:r>
      <w:r>
        <w:rPr>
          <w:rFonts w:hint="default" w:ascii="Times New Roman" w:hAnsi="Times New Roman" w:eastAsia="仿宋_GB2312" w:cs="Times New Roman"/>
          <w:i w:val="0"/>
          <w:iCs w:val="0"/>
          <w:caps w:val="0"/>
          <w:color w:val="000000"/>
          <w:spacing w:val="0"/>
          <w:sz w:val="32"/>
          <w:szCs w:val="32"/>
          <w:highlight w:val="none"/>
          <w:shd w:val="clear" w:fill="FFFFFF"/>
        </w:rPr>
        <w:t>件为主办件，协办提案</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4</w:t>
      </w:r>
      <w:r>
        <w:rPr>
          <w:rFonts w:hint="default" w:ascii="Times New Roman" w:hAnsi="Times New Roman" w:eastAsia="仿宋_GB2312" w:cs="Times New Roman"/>
          <w:i w:val="0"/>
          <w:iCs w:val="0"/>
          <w:caps w:val="0"/>
          <w:color w:val="000000"/>
          <w:spacing w:val="0"/>
          <w:sz w:val="32"/>
          <w:szCs w:val="32"/>
          <w:highlight w:val="none"/>
          <w:shd w:val="clear" w:fill="FFFFFF"/>
        </w:rPr>
        <w:t>件。主要涉及</w:t>
      </w:r>
      <w:r>
        <w:rPr>
          <w:rFonts w:hint="eastAsia" w:ascii="Times New Roman" w:hAnsi="Times New Roman" w:eastAsia="仿宋_GB2312" w:cs="Times New Roman"/>
          <w:i w:val="0"/>
          <w:iCs w:val="0"/>
          <w:caps w:val="0"/>
          <w:color w:val="000000"/>
          <w:spacing w:val="0"/>
          <w:sz w:val="32"/>
          <w:szCs w:val="32"/>
          <w:highlight w:val="none"/>
          <w:shd w:val="clear" w:fill="FFFFFF"/>
          <w:lang w:eastAsia="zh-CN"/>
        </w:rPr>
        <w:t>农村宅基地</w:t>
      </w:r>
      <w:r>
        <w:rPr>
          <w:rFonts w:hint="default" w:ascii="Times New Roman" w:hAnsi="Times New Roman" w:eastAsia="仿宋_GB2312" w:cs="Times New Roman"/>
          <w:i w:val="0"/>
          <w:iCs w:val="0"/>
          <w:caps w:val="0"/>
          <w:color w:val="000000"/>
          <w:spacing w:val="0"/>
          <w:sz w:val="32"/>
          <w:szCs w:val="32"/>
          <w:highlight w:val="none"/>
          <w:shd w:val="clear" w:fill="FFFFFF"/>
        </w:rPr>
        <w:t>、</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林业</w:t>
      </w:r>
      <w:r>
        <w:rPr>
          <w:rFonts w:hint="default" w:ascii="Times New Roman" w:hAnsi="Times New Roman" w:eastAsia="仿宋_GB2312" w:cs="Times New Roman"/>
          <w:i w:val="0"/>
          <w:iCs w:val="0"/>
          <w:caps w:val="0"/>
          <w:color w:val="000000"/>
          <w:spacing w:val="0"/>
          <w:sz w:val="32"/>
          <w:szCs w:val="32"/>
          <w:highlight w:val="none"/>
          <w:shd w:val="clear" w:fill="FFFFFF"/>
        </w:rPr>
        <w:t>、</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土地利用</w:t>
      </w:r>
      <w:r>
        <w:rPr>
          <w:rFonts w:hint="default" w:ascii="Times New Roman" w:hAnsi="Times New Roman" w:eastAsia="仿宋_GB2312" w:cs="Times New Roman"/>
          <w:i w:val="0"/>
          <w:iCs w:val="0"/>
          <w:caps w:val="0"/>
          <w:color w:val="000000"/>
          <w:spacing w:val="0"/>
          <w:sz w:val="32"/>
          <w:szCs w:val="32"/>
          <w:highlight w:val="none"/>
          <w:shd w:val="clear" w:fill="FFFFFF"/>
        </w:rPr>
        <w:t>等</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工作</w:t>
      </w:r>
      <w:r>
        <w:rPr>
          <w:rFonts w:hint="default" w:ascii="Times New Roman" w:hAnsi="Times New Roman" w:eastAsia="仿宋_GB2312" w:cs="Times New Roman"/>
          <w:i w:val="0"/>
          <w:iCs w:val="0"/>
          <w:caps w:val="0"/>
          <w:color w:val="000000"/>
          <w:spacing w:val="0"/>
          <w:sz w:val="32"/>
          <w:szCs w:val="32"/>
          <w:highlight w:val="none"/>
          <w:shd w:val="clear" w:fill="FFFFFF"/>
        </w:rPr>
        <w:t>。以上建议和</w:t>
      </w:r>
      <w:r>
        <w:rPr>
          <w:rFonts w:hint="eastAsia" w:ascii="Times New Roman" w:hAnsi="Times New Roman" w:eastAsia="仿宋_GB2312" w:cs="Times New Roman"/>
          <w:i w:val="0"/>
          <w:iCs w:val="0"/>
          <w:caps w:val="0"/>
          <w:color w:val="000000"/>
          <w:spacing w:val="0"/>
          <w:sz w:val="32"/>
          <w:szCs w:val="32"/>
          <w:highlight w:val="none"/>
          <w:shd w:val="clear" w:fill="FFFFFF"/>
          <w:lang w:eastAsia="zh-CN"/>
        </w:rPr>
        <w:t>提</w:t>
      </w:r>
      <w:bookmarkStart w:id="0" w:name="_GoBack"/>
      <w:bookmarkEnd w:id="0"/>
      <w:r>
        <w:rPr>
          <w:rFonts w:hint="default" w:ascii="Times New Roman" w:hAnsi="Times New Roman" w:eastAsia="仿宋_GB2312" w:cs="Times New Roman"/>
          <w:i w:val="0"/>
          <w:iCs w:val="0"/>
          <w:caps w:val="0"/>
          <w:color w:val="000000"/>
          <w:spacing w:val="0"/>
          <w:sz w:val="32"/>
          <w:szCs w:val="32"/>
          <w:highlight w:val="none"/>
          <w:shd w:val="clear" w:fill="FFFFFF"/>
        </w:rPr>
        <w:t>案，我局均在规定期限内办理完毕，办理态度和办理结果均达到</w:t>
      </w:r>
      <w:r>
        <w:rPr>
          <w:rFonts w:hint="default" w:ascii="Times New Roman" w:hAnsi="Times New Roman" w:eastAsia="宋体" w:cs="Times New Roman"/>
          <w:i w:val="0"/>
          <w:iCs w:val="0"/>
          <w:caps w:val="0"/>
          <w:color w:val="000000"/>
          <w:spacing w:val="0"/>
          <w:sz w:val="32"/>
          <w:szCs w:val="32"/>
          <w:highlight w:val="none"/>
          <w:shd w:val="clear" w:fill="FFFFFF"/>
        </w:rPr>
        <w:t>100%</w:t>
      </w:r>
      <w:r>
        <w:rPr>
          <w:rFonts w:hint="default" w:ascii="Times New Roman" w:hAnsi="Times New Roman" w:eastAsia="仿宋_GB2312" w:cs="Times New Roman"/>
          <w:i w:val="0"/>
          <w:iCs w:val="0"/>
          <w:caps w:val="0"/>
          <w:color w:val="000000"/>
          <w:spacing w:val="0"/>
          <w:sz w:val="32"/>
          <w:szCs w:val="32"/>
          <w:highlight w:val="none"/>
          <w:shd w:val="clear" w:fill="FFFFFF"/>
        </w:rPr>
        <w:t>满意。</w:t>
      </w:r>
    </w:p>
    <w:p>
      <w:pPr>
        <w:keepNext w:val="0"/>
        <w:keepLines w:val="0"/>
        <w:pageBreakBefore w:val="0"/>
        <w:widowControl/>
        <w:numPr>
          <w:ilvl w:val="0"/>
          <w:numId w:val="0"/>
        </w:numPr>
        <w:suppressLineNumbers w:val="0"/>
        <w:kinsoku/>
        <w:overflowPunct/>
        <w:topLinePunct w:val="0"/>
        <w:bidi w:val="0"/>
        <w:adjustRightIn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highlight w:val="yellow"/>
          <w:shd w:val="clear" w:fill="FFFFFF"/>
          <w:lang w:val="en-US" w:eastAsia="zh-CN"/>
        </w:rPr>
      </w:pPr>
      <w:r>
        <w:rPr>
          <w:rFonts w:hint="default" w:ascii="Times New Roman" w:hAnsi="Times New Roman" w:eastAsia="楷体_GB2312" w:cs="Times New Roman"/>
          <w:i w:val="0"/>
          <w:iCs w:val="0"/>
          <w:caps w:val="0"/>
          <w:color w:val="000000"/>
          <w:spacing w:val="0"/>
          <w:kern w:val="0"/>
          <w:sz w:val="32"/>
          <w:szCs w:val="32"/>
          <w:lang w:val="en-US" w:eastAsia="zh-CN" w:bidi="ar"/>
        </w:rPr>
        <w:t>（四）开展政务公开创新方面：</w:t>
      </w:r>
      <w:r>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t>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i w:val="0"/>
          <w:iCs w:val="0"/>
          <w:caps w:val="0"/>
          <w:color w:val="000000"/>
          <w:spacing w:val="0"/>
          <w:kern w:val="0"/>
          <w:sz w:val="32"/>
          <w:szCs w:val="32"/>
          <w:lang w:val="en-US" w:eastAsia="zh-CN" w:bidi="ar"/>
        </w:rPr>
        <w:t>（五）本单位政府信息公开工作年度报告数据统计需要说明的事项：</w:t>
      </w:r>
      <w:r>
        <w:rPr>
          <w:rFonts w:hint="default" w:ascii="Times New Roman" w:hAnsi="Times New Roman" w:eastAsia="仿宋_GB2312" w:cs="Times New Roman"/>
          <w:color w:val="auto"/>
          <w:sz w:val="32"/>
          <w:szCs w:val="32"/>
          <w:highlight w:val="none"/>
          <w:lang w:eastAsia="zh-CN"/>
        </w:rPr>
        <w:t>无</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i w:val="0"/>
          <w:iCs w:val="0"/>
          <w:caps w:val="0"/>
          <w:color w:val="000000"/>
          <w:spacing w:val="0"/>
          <w:kern w:val="0"/>
          <w:sz w:val="32"/>
          <w:szCs w:val="32"/>
          <w:lang w:val="en-US" w:eastAsia="zh-CN" w:bidi="ar"/>
        </w:rPr>
        <w:t>（六）其他有关文件专门要求通过政府信息公开工作年度报告予以报告的事项：</w:t>
      </w:r>
      <w:r>
        <w:rPr>
          <w:rFonts w:hint="default" w:ascii="Times New Roman" w:hAnsi="Times New Roman" w:eastAsia="仿宋_GB2312" w:cs="Times New Roman"/>
          <w:color w:val="auto"/>
          <w:sz w:val="32"/>
          <w:szCs w:val="32"/>
          <w:highlight w:val="none"/>
          <w:lang w:eastAsia="zh-CN"/>
        </w:rPr>
        <w:t>无</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楷体_GB2312" w:cs="Times New Roman"/>
          <w:i w:val="0"/>
          <w:iCs w:val="0"/>
          <w:caps w:val="0"/>
          <w:color w:val="000000"/>
          <w:spacing w:val="0"/>
          <w:kern w:val="0"/>
          <w:sz w:val="32"/>
          <w:szCs w:val="32"/>
          <w:lang w:val="en-US" w:eastAsia="zh-CN" w:bidi="ar"/>
        </w:rPr>
      </w:pPr>
    </w:p>
    <w:p>
      <w:pPr>
        <w:pStyle w:val="2"/>
        <w:rPr>
          <w:rFonts w:hint="default" w:ascii="Times New Roman" w:hAnsi="Times New Roman" w:eastAsia="楷体_GB2312" w:cs="Times New Roman"/>
          <w:i w:val="0"/>
          <w:iCs w:val="0"/>
          <w:caps w:val="0"/>
          <w:color w:val="000000"/>
          <w:spacing w:val="0"/>
          <w:kern w:val="0"/>
          <w:sz w:val="32"/>
          <w:szCs w:val="32"/>
          <w:lang w:val="en-US" w:eastAsia="zh-CN" w:bidi="ar"/>
        </w:rPr>
      </w:pPr>
    </w:p>
    <w:p>
      <w:pPr>
        <w:rPr>
          <w:rFonts w:hint="default"/>
          <w:lang w:val="en-US" w:eastAsia="zh-CN"/>
        </w:rPr>
      </w:pPr>
    </w:p>
    <w:p>
      <w:pPr>
        <w:keepNext w:val="0"/>
        <w:keepLines w:val="0"/>
        <w:pageBreakBefore w:val="0"/>
        <w:widowControl w:val="0"/>
        <w:kinsoku/>
        <w:wordWrap w:val="0"/>
        <w:overflowPunct/>
        <w:topLinePunct w:val="0"/>
        <w:autoSpaceDE w:val="0"/>
        <w:autoSpaceDN w:val="0"/>
        <w:bidi w:val="0"/>
        <w:adjustRightInd/>
        <w:snapToGrid/>
        <w:spacing w:line="600" w:lineRule="exact"/>
        <w:ind w:firstLine="640" w:firstLineChars="200"/>
        <w:jc w:val="right"/>
        <w:textAlignment w:val="auto"/>
        <w:rPr>
          <w:rFonts w:hint="default" w:ascii="Times New Roman" w:hAnsi="Times New Roman" w:eastAsia="仿宋_GB2312" w:cs="Times New Roman"/>
          <w:color w:val="auto"/>
          <w:kern w:val="0"/>
          <w:sz w:val="32"/>
          <w:szCs w:val="32"/>
          <w:highlight w:val="none"/>
          <w:lang w:val="en-US" w:eastAsia="zh-CN"/>
        </w:rPr>
      </w:pPr>
    </w:p>
    <w:sectPr>
      <w:footerReference r:id="rId3"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DF80B4"/>
    <w:multiLevelType w:val="singleLevel"/>
    <w:tmpl w:val="77DF80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NWU0NjFkNjI0M2E4NjU3OTI5NzRlNmJjYzcxMDkifQ=="/>
  </w:docVars>
  <w:rsids>
    <w:rsidRoot w:val="485E4309"/>
    <w:rsid w:val="07DD5C27"/>
    <w:rsid w:val="173E69B0"/>
    <w:rsid w:val="1AFF932B"/>
    <w:rsid w:val="220A7D47"/>
    <w:rsid w:val="36720EC1"/>
    <w:rsid w:val="37AD49B3"/>
    <w:rsid w:val="37FDB6DF"/>
    <w:rsid w:val="39F6DBBC"/>
    <w:rsid w:val="3C3604F8"/>
    <w:rsid w:val="3ED7664A"/>
    <w:rsid w:val="3EF8D145"/>
    <w:rsid w:val="3FEDD9AC"/>
    <w:rsid w:val="451A0C3A"/>
    <w:rsid w:val="47C13B8B"/>
    <w:rsid w:val="48043633"/>
    <w:rsid w:val="485E4309"/>
    <w:rsid w:val="4EDF03F6"/>
    <w:rsid w:val="563F805C"/>
    <w:rsid w:val="56FF0648"/>
    <w:rsid w:val="5986716D"/>
    <w:rsid w:val="59F32AA6"/>
    <w:rsid w:val="5C7C68B5"/>
    <w:rsid w:val="5EBBC29B"/>
    <w:rsid w:val="5FFE9B76"/>
    <w:rsid w:val="617651D7"/>
    <w:rsid w:val="63F60CA9"/>
    <w:rsid w:val="66DEE8D5"/>
    <w:rsid w:val="68D11D83"/>
    <w:rsid w:val="6C399ED4"/>
    <w:rsid w:val="6DEF53CF"/>
    <w:rsid w:val="6DFEC422"/>
    <w:rsid w:val="6E9F839D"/>
    <w:rsid w:val="76FF1B2A"/>
    <w:rsid w:val="76FF8868"/>
    <w:rsid w:val="77CBAD8A"/>
    <w:rsid w:val="79814A0B"/>
    <w:rsid w:val="7B9795EB"/>
    <w:rsid w:val="7DDF7C0D"/>
    <w:rsid w:val="7EF6EF4C"/>
    <w:rsid w:val="7F27ACA7"/>
    <w:rsid w:val="7FAD8354"/>
    <w:rsid w:val="7FBC117C"/>
    <w:rsid w:val="7FCF562B"/>
    <w:rsid w:val="7FD99271"/>
    <w:rsid w:val="7FFF00C1"/>
    <w:rsid w:val="97FF39F5"/>
    <w:rsid w:val="9A9E775C"/>
    <w:rsid w:val="9AF21674"/>
    <w:rsid w:val="B39F3B46"/>
    <w:rsid w:val="B4EED3C5"/>
    <w:rsid w:val="BFAFE204"/>
    <w:rsid w:val="EAB90E87"/>
    <w:rsid w:val="EEF9CC6A"/>
    <w:rsid w:val="EF34C548"/>
    <w:rsid w:val="EFBF5ACE"/>
    <w:rsid w:val="EFF61666"/>
    <w:rsid w:val="F1F6C6F5"/>
    <w:rsid w:val="F2CF5E23"/>
    <w:rsid w:val="F3F5A51F"/>
    <w:rsid w:val="F7DB81DA"/>
    <w:rsid w:val="F9EA11C5"/>
    <w:rsid w:val="FAFBF651"/>
    <w:rsid w:val="FAFC8064"/>
    <w:rsid w:val="FEF7665D"/>
    <w:rsid w:val="FF5F8D2C"/>
    <w:rsid w:val="FF9F8335"/>
    <w:rsid w:val="FFBBCD5F"/>
    <w:rsid w:val="FFDF48EB"/>
    <w:rsid w:val="FFEFB17F"/>
    <w:rsid w:val="FFFF29D7"/>
    <w:rsid w:val="FFFFA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1974</Words>
  <Characters>2098</Characters>
  <Lines>0</Lines>
  <Paragraphs>0</Paragraphs>
  <TotalTime>39</TotalTime>
  <ScaleCrop>false</ScaleCrop>
  <LinksUpToDate>false</LinksUpToDate>
  <CharactersWithSpaces>2098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2024-01-20T03:10:00Z</dcterms:created>
  <dc:creator>PSG</dc:creator>
  <cp:lastModifiedBy>user</cp:lastModifiedBy>
  <dcterms:modified xsi:type="dcterms:W3CDTF">2026-01-29T08:29:21Z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7C1066BD12C94B0AA7D7CE8B1DE77A46_13</vt:lpwstr>
  </property>
  <property fmtid="{D5CDD505-2E9C-101B-9397-08002B2CF9AE}" pid="4" name="KSOTemplateDocerSaveRecord">
    <vt:lpwstr>eyJoZGlkIjoiOGVjNWU0NjFkNjI0M2E4NjU3OTI5NzRlNmJjYzcxMDkiLCJ1c2VySWQiOiIyNzc0OTI2MTgifQ==</vt:lpwstr>
  </property>
</Properties>
</file>