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薛政办字〔2020〕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薛城区人民政府办公室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公布《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度薛城区工业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亩产效益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综合评价结果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各镇政府，临城、常庄街道办事处，巨山街道筹备处工委，区政府有关部门，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有关企事业单位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贯彻落实《山东省人民政府关于开展“亩产效益”评价改革工作的指导意见》（鲁政字〔2019〕235号）文件精神，引导辖区内工业企业树立“亩产论英雄”的发展理念，优化资源要素配置，加快工业企业转型升级，根据《关于印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薛城区工业企业分类综合评价实施方案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的通知》（薛政发〔2019〕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号）文件要求，我区完成了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度工业企业“亩产效益”综合评价工作，形成了综合评价结果，现将《2019年度薛城区工业企业“亩产效益”综合评价结果》予以公布。请各镇街、各部门认真落实《关于印发&lt;薛城区“亩产效益”综合评价改革资源要素差异化配置实施意见（试行）&gt;的通知》（薛政发〔2019〕7号）文件精神，做好综合评价结果的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附件：2019年度薛城区工业企业“亩产效益”综合评价结果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薛城区人民政府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afterLines="0" w:line="600" w:lineRule="exac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2019年度薛城区工业企业“亩产效益”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综合评价结果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规上工业企业综合评价结果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山东中力高压阀门股份有限公司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山东潍焦集团薛城能源有限公司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枣庄天润达实业有限公司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山东正祥能源科技有限公司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枣庄市凯瑞化工有限公司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枣庄远东实业开发总公司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枣庄灏海高性能混凝土有限公司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枣庄金正实业有限公司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枣庄众润新型建筑材料有限公司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枣庄薛能天然气有限公司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青岛啤酒（薛城）有限公司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枣庄润昇新型墙体材料有限公司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枣庄市高新区宏宇包装材料有限公司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枣庄玮成化工科技有限公司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山东振涵路桥工程有限公司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山东智赢门窗系统有限公司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枣庄市榴园纸业有限公司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枣庄通晟液压机械有限公司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枣庄顺兴新型建筑材料有限公司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山东金穗农业发展有限公司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山东安阳矿业有限责任公司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枣庄矿业（集团）有限责任公司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山东海帝新能源科技有限公司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枣庄市顺翔科技发展有限公司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枣庄市福兴玻璃制品有限公司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枣庄杰富意振兴化工有限公司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山东奥瑟亚化工有限公司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枣庄市薛城区东润包装材料有限公司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中金液压胶管股份有限公司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枣庄嘉麒人防设备配件有限公司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山东省北斗制冷设备有限公司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枣庄市银牛面业有限公司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枣庄市宏伟玻璃有限公司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枣庄市高晟实业公司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枣庄联德建筑材料有限公司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远通纸业（山东）有限公司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山东贝斯特机械设备有限公司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山东嘉驰新型化工有限公司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枣庄市雪峰制冷设备有限公司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枣庄市天顺木业有限公司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枣庄市农家盛圆面粉有限公司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山东联兴玻璃股份有限公司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枣庄夫宇食品有限公司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枣庄天莱雅贸易有限公司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爱德士鞋业（山东）有限公司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枣庄市捷利木业有限公司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山东三和信达新材料科技有限公司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枣庄群鑫金属制造有限公司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山东银顺奔彭车业有限公司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枣庄振兴能源有限公司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山东顺兴水泥股份有限公司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山东知本原特种炭黑有限公司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山东奥瑟亚建阳炭黑有限公司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枣庄北控污水处理有限公司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枣庄恒通橡塑有限责任公司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山东贝克汉邦食品有限公司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枣庄市薛力塑料制品有限公司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山东铭世铝业有限公司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山东凯乐化工有限公司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枣庄市恒仁水泥有限公司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不参评企业（6家）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枣庄市薛城区城市供排水总公司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枣庄市海乐燃气有限公司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枣庄新城热力有限公司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枣庄市薛城区鸿阳热力有限公司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枣庄市建阳热电有限公司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枣庄中科环保电力有限公司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规下工业企业综合评价结果（占地≥3亩）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枣庄通晟机电设备再制造有限公司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枣庄市峰华印刷有限公司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枣庄共进商贸有限公司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枣庄文兴矿业设备有限公司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枣庄广源安全仪器有限公司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枣庄市海河食品有限公司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山东罗克迪门窗幕墙系统有限公司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枣庄潞祥建材有限公司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枣庄顺兴新型建筑材料有限公司陶庄分公司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枣庄市汇泉供水有限责任公司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枣庄博胜活性钙有限公司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枣庄恒发矿用机电设备有限公司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枣庄绮睿制衣有限公司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山东多乐新能源科技有限责任公司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枣庄麒彩手性药物化学有限公司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枣庄神工制冷机械有限公司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枣庄市兴化化工有限责任公司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枣庄尚为机械有限公司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山东福瑞德针织服装有限公司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枣庄市薛城区森琪纸管厂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山东甄沃食品科技有限公司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枣庄市生物工程技术研究所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枣庄瑞盛磨料有限公司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山东卓越新晟贸易有限公司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枣庄远东工贸有限公司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枣庄创宏实业公司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山东福瑞德针织服装有限公司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山东绿味美食品有限公司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山东裕丰酒业有限公司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枣庄文兴矿业设备厂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枣庄程宏源机电制修有限公司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枣庄市联创煤矿电器设备厂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枣庄七星制冷设备有限公司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枣庄市开利机械有限公司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枣庄佰伦实业有限公司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枣庄辰祥新型建材有限公司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枣庄市东翔玻璃工艺制品有限公司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枣庄市方正门业有限公司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山东宏顺达塑业有限公司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枣庄亚讯盈丰机电科技有限公司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枣庄市长河港业有限公司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山东正天电子科技有限公司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枣庄民兴化工有限公司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枣庄七彩新型建材有限公司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枣庄瑞智环保设备有限公司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山东凌顿制冷设备有限公司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枣庄联创实业有限责任公司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枣庄市百汇通用机械有限公司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山东鲁南泰山石膏有限公司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枣庄联创电线电缆有限公司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枣庄众友门窗工程有限公司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枣庄市麦迪科纺织科技有限公司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枣庄众望矿山支护材料有限公司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枣庄立正电子科技有限公司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枣庄天华瑞平矿用机械设备有限公司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枣庄市薛城区富康挂面厂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山东平成机械设备有限公司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枣庄市海象纸业有限公司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枣庄启华手套制造有限公司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枣庄北方制冷机械有限公司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枣庄常通制管工程有限公司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枣庄联创活性炭有限公司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枣庄新城供排水有限公司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枣庄市临山泉水业有限公司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山东中科绿碳科技有限公司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枣庄众合矿山机械有限公司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枣庄龚老头食品有限公司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山东南山泉天然矿泉水有限公司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枣庄亿瑞新型建材有限公司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山东多乐采暖设备有限责任公司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山东博翊新型材料科技有限公司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枣庄市宏冠食品添加剂有限公司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山东劲嘉印刷科技有限公司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枣庄市永泰化工有限公司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山东省果硕木业有限公司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枣庄市广来饲料有限公司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山东鑫南极食品股份有限公司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枣庄臻味坊食品有限公司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枣庄市圣火煜晟新型陶瓷有限公司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枣庄市薛国食品酿造有限公司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山东润邦新型燃料有限公司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枣庄市鸿发食品有限公司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山东省新傲弘电动车科技有限公司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枣庄齐鲁洪源水务发展有限公司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枣庄德康食品有限公司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山东微湖情生物科技有限公司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枣庄市海象塑业有限公司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D类企业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10家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枣庄市薛城区邹坞镇北安阳煤矸砖厂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山东安阳洗煤有限公司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山东盛世唐豪酒业有限公司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枣庄市薛城区陶庄镇西防备煤矸砖厂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枣庄市薛城区亿隆饲料厂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山东佳好食品科技有限公司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枣庄市彤辉纸制品有限公司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山东尚品尚餐饮服务有限公司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枣庄市善道科技发展有限公司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枣庄金派建材有限公司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不参评企业（1家）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枣庄市陶庄供水有限公司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365760</wp:posOffset>
                </wp:positionV>
                <wp:extent cx="55854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7905" y="9469755"/>
                          <a:ext cx="5585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28.8pt;height:0pt;width:439.8pt;z-index:251659264;mso-width-relative:page;mso-height-relative:page;" filled="f" stroked="t" coordsize="21600,21600" o:gfxdata="UEsDBAoAAAAAAIdO4kAAAAAAAAAAAAAAAAAEAAAAZHJzL1BLAwQUAAAACACHTuJAyv7oz9YAAAAI&#10;AQAADwAAAGRycy9kb3ducmV2LnhtbE2PsU7DMBCGdyTewTokttZpBHUU4nRAYkBCogQGRje+xgH7&#10;HGI3Sd8eIwYY7/5f331X7RZn2YRj6D1J2KwzYEit1z11Et5eH1YFsBAVaWU9oYQzBtjVlxeVKrWf&#10;6QWnJnYsQSiUSoKJcSg5D61Bp8LaD0gpO/rRqZjGseN6VHOCO8vzLNtyp3pKF4wa8N5g+9mcXKKQ&#10;+DoudnzfPz+Zopk/8HESKOX11Sa7AxZxiX9l+NFP6lAnp4M/kQ7MSliJm9SUcCu2wFJeiDwHdvhd&#10;8Lri/x+ovwFQSwMEFAAAAAgAh07iQPm5wZvbAQAAfQMAAA4AAABkcnMvZTJvRG9jLnhtbK1TzY7T&#10;MBC+I/EOlu80adl026juHrZaLggqAQ/gOnZiyX/ymKZ9CV4AiRucOHLnbVgeg7FblgI3RA6TmXj8&#10;zXwzX1Y3B2vIXkbQ3jE6ndSUSCd8p13P6JvXd08WlEDiruPGO8noUQK9WT9+tBpDK2d+8KaTkSCI&#10;g3YMjA4phbaqQAzScpj4IB0eKh8tTxjGvuoiHxHdmmpW1/Nq9LEL0QsJgF83p0O6LvhKSZFeKgUy&#10;EcMo9paKjcXusq3WK972kYdBi3Mb/B+6sFw7LPoAteGJk7dR/wVltYgevEoT4W3lldJCFg7IZlr/&#10;webVwIMsXHA4EB7GBP8PVrzYbyPRHaMzShy3uKL791++vfv4/esHtPefP5FZHtIYoMXcW7eN5wjC&#10;NmbGBxVtfiMXckAJ1NPrZd1QcmR0eTVfXjfNacjykIjAhKZZNFdz3IXAjLKA6hdIiJCeSW9Jdhg1&#10;2mX+vOX755CwMKb+TMmfnb/TxpQdGkdGRudPm4zMUUnK8ISuDcgNXE8JNz1KVKRYEMEb3eXbGQdi&#10;v7s1kex5lkl5ctNY7be0XHrDYTjllaMTN6sTqthoy+ji8rZxGV0WHZ4J5EGeRpe9ne+OZaJVjnDH&#10;pehZj1lElzH6l3/N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/ujP1gAAAAgBAAAPAAAAAAAA&#10;AAEAIAAAACIAAABkcnMvZG93bnJldi54bWxQSwECFAAUAAAACACHTuJA+bnBm9sBAAB9AwAADgAA&#10;AAAAAAABACAAAAAlAQAAZHJzL2Uyb0RvYy54bWxQSwUGAAAAAAYABgBZAQAAc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99060</wp:posOffset>
                </wp:positionV>
                <wp:extent cx="55854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pt;margin-top:7.8pt;height:0pt;width:439.8pt;z-index:251660288;mso-width-relative:page;mso-height-relative:page;" filled="f" stroked="t" coordsize="21600,21600" o:gfxdata="UEsDBAoAAAAAAIdO4kAAAAAAAAAAAAAAAAAEAAAAZHJzL1BLAwQUAAAACACHTuJAPe4VEtUAAAAJ&#10;AQAADwAAAGRycy9kb3ducmV2LnhtbE2PMU/EMAyFdyT+Q2Qktru0SPSq0vQGJAYkJKAwMOYaX1NI&#10;nNLk2vLvMWKAzfZ7ev5evV+9EzNOcQikIN9mIJC6YAbqFby+3G1KEDFpMtoFQgVfGGHfnJ/VujJh&#10;oWec29QLDqFYaQU2pbGSMnYWvY7bMCKxdgyT14nXqZdm0guHeyevsqyQXg/EH6we8dZi99GePKfQ&#10;7vO4uunt6fHBlu3yjvfzDpW6vMizGxAJ1/Rnhh98RoeGmQ7hRCYKp2CT59wlsXBdgGBDWZQ8HH4P&#10;sqnl/wbNN1BLAwQUAAAACACHTuJAS8nnpMwBAABxAwAADgAAAGRycy9lMm9Eb2MueG1srVPNbhMx&#10;EL4j8Q6W72TThkTRKpseGpULgkjAA0y89q4l/8ljsslL9AUqcYMTR+68De1jdOykaYAbIofJjD3+&#10;xt/nbxdXO2vYVkbU3jX8YjTmTDrhW+26hn/6ePNqzhkmcC0Y72TD9xL51fLli8UQannpe29aGRmB&#10;OKyH0PA+pVBXFYpeWsCRD9LRpvLRQqIydlUbYSB0a6rL8XhWDT62IXohEWl1ddjky4KvlBTpvVIo&#10;EzMNp7ulEmOJmxyr5QLqLkLotTheA/7hFha0o6EnqBUkYJ+j/gvKahE9epVGwtvKK6WFLByIzcX4&#10;DzYfegiycCFxMJxkwv8HK95t15HptuETzhxYeqL7ux+/br8+/PxC8f77NzbJIg0Ba+q9dut4rDCs&#10;Y2a8U9Hmf+LCdkXY/UlYuUtM0OJ0Op++npH+4mmvej4YIqY30luWk4Yb7TJnqGH7FhMNo9anlrzs&#10;/I02prybcWxo+GwyzchA7lEGEqU2EB90HWdgOrKlSLEgoje6zaczDsZuc20i20K2RvllojTtt7Y8&#10;egXYH/rK1sE0VidyrtG24fPz08ZldFm8dySQxTvIlbONb/dFxSpX9K5l6NGD2TjnNeXnX8ryE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3uFRLVAAAACQEAAA8AAAAAAAAAAQAgAAAAIgAAAGRycy9k&#10;b3ducmV2LnhtbFBLAQIUABQAAAAIAIdO4kBLyeekzAEAAHEDAAAOAAAAAAAAAAEAIAAAACQBAABk&#10;cnMvZTJvRG9jLnhtbFBLBQYAAAAABgAGAFkBAABi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薛城区人民政府办公室                  2020年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 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450BF"/>
    <w:rsid w:val="01F07F5C"/>
    <w:rsid w:val="03F00FD9"/>
    <w:rsid w:val="041450BF"/>
    <w:rsid w:val="08467114"/>
    <w:rsid w:val="0A1A7AF4"/>
    <w:rsid w:val="0C2920EE"/>
    <w:rsid w:val="0DFF09EB"/>
    <w:rsid w:val="0E88772F"/>
    <w:rsid w:val="1151052C"/>
    <w:rsid w:val="14812A02"/>
    <w:rsid w:val="1CA74463"/>
    <w:rsid w:val="244753E5"/>
    <w:rsid w:val="24845363"/>
    <w:rsid w:val="338E4348"/>
    <w:rsid w:val="36CD2C19"/>
    <w:rsid w:val="449F62DC"/>
    <w:rsid w:val="4D510722"/>
    <w:rsid w:val="50395713"/>
    <w:rsid w:val="513E306F"/>
    <w:rsid w:val="586F5F54"/>
    <w:rsid w:val="5EA53B6B"/>
    <w:rsid w:val="624204ED"/>
    <w:rsid w:val="662C2E66"/>
    <w:rsid w:val="6CDF0487"/>
    <w:rsid w:val="6DDF22CC"/>
    <w:rsid w:val="6EE62FC6"/>
    <w:rsid w:val="6FB3132D"/>
    <w:rsid w:val="74D63933"/>
    <w:rsid w:val="75AA53B5"/>
    <w:rsid w:val="78906334"/>
    <w:rsid w:val="7F8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2019-12-27T09:32:00Z</dcterms:created>
  <dc:creator>Administrator</dc:creator>
  <cp:lastModifiedBy>任政</cp:lastModifiedBy>
  <cp:lastPrinted>2020-06-19T01:41:39Z</cp:lastPrinted>
  <dcterms:modified xsi:type="dcterms:W3CDTF">2020-06-19T01:41:52Z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