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-845185</wp:posOffset>
            </wp:positionH>
            <wp:positionV relativeFrom="paragraph">
              <wp:posOffset>-1353820</wp:posOffset>
            </wp:positionV>
            <wp:extent cx="7523480" cy="9869170"/>
            <wp:effectExtent l="0" t="0" r="7620" b="11430"/>
            <wp:wrapNone/>
            <wp:docPr id="1" name="图片 2" descr="办事处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办事处红头"/>
                    <pic:cNvPicPr>
                      <a:picLocks noChangeAspect="1"/>
                    </pic:cNvPicPr>
                  </pic:nvPicPr>
                  <pic:blipFill>
                    <a:blip r:embed="rId4"/>
                    <a:srcRect b="10333"/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986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</w:pPr>
    </w:p>
    <w:p>
      <w:pPr>
        <w:pStyle w:val="2"/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  <w:t>临办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24"/>
          <w:lang w:eastAsia="zh-CN"/>
        </w:rPr>
        <w:t>发〔20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24"/>
          <w:lang w:eastAsia="zh-CN"/>
        </w:rPr>
        <w:t>〕</w:t>
      </w:r>
      <w:r>
        <w:rPr>
          <w:rFonts w:hint="eastAsia" w:ascii="Times New Roman" w:hAnsi="Times New Roman" w:eastAsia="楷体_GB2312" w:cs="Times New Roman"/>
          <w:snapToGrid w:val="0"/>
          <w:kern w:val="0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24"/>
          <w:lang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2023年度法治政府建设报告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一年来，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临城街道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区委、区政府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坚强领导下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在依法治区委员会和依法治区办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的精心指导下，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以深入推进依法行政为目标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将法治思想和法治方式贯穿于工作全过程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积极运用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法治思维和法治方式破解基层治理难题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现将有关情况汇报如下：</w:t>
      </w: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（一）坚持思想领先，握好法治思想“航船舵”。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突出法治引领。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严格落实领导干部学法用法制度，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以习近平法治思想和党的二十大精神为指引，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通过会前学法、集中专题学法等形式，组织机关干部认真学习《宪法》《行政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法》《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全面推进依法行政实施纲要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》等法律法规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次，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召开专题部署会议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6次，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通报漠视群众利益的行为案例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起。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eastAsia="zh-CN"/>
        </w:rPr>
        <w:t>二是突出依法决策。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贯彻落实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“三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重一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大”决策制度，先后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研究重大事项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46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次、审议事项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100余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决策合法、科学、可操作。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严格执行《山东省行政程序规定》，强化规范性文件制定，实行逢文必审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，严格按照法定程序备案党内规范性文件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3件。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三是突出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执法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eastAsia="zh-CN"/>
        </w:rPr>
        <w:t>严明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落实行政执法公示、执法全过程记录、重大执法决定法制审核“三项制度”，做到以法为据、以理服人、以情感人。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w w:val="100"/>
          <w:sz w:val="32"/>
          <w:szCs w:val="32"/>
        </w:rPr>
        <w:t>开展行政执法人员法律知识培训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12次，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年度普法考试参考率和优秀率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（二）坚持“目标导向”，立好基层治理“风向标”。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一是写好“善治临城”篇章。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坚持和发扬“枫桥经验”，打造“如家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调解室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”、“警律联调”等特色人民调解室，发挥调委会、警务助理、司法协理员等资源作用，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协调处理矛盾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件，成功调解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件，调解成功率达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累计接收社区矫正对象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bidi="ar"/>
        </w:rPr>
        <w:t>在管社区矫正对象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shd w:val="clear" w:color="auto" w:fill="FFFFFF"/>
          <w:lang w:bidi="ar"/>
        </w:rPr>
        <w:t>名。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二是写好“平安临城”篇章。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创新提出“五心工作法”，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化解各类历史遗留问题20余件，国家级、省级信访积案化解率100%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辖区龙潭社区获评全区唯一“全国民主法治示范社区”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，得到市区领导高度认可。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shd w:val="clear" w:color="auto" w:fill="FFFFFF"/>
          <w:lang w:val="en-US" w:eastAsia="zh-CN"/>
        </w:rPr>
        <w:t>三是写好“底蕴临城”篇章。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与“结亲连心”活动相结合，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1315名街道党员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入户宣传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，梳理辖区居民关于法治政府的意见建议152条，并归类建档，销号解决。与“网格化管理服务”相结合，318名网格员上门服务，架起沟通连心桥。与“社会信用体系建设”相结合，聚焦“信用+法治”，将遵规守法、遵信守约等指标纳入积分兑换体系，选树先进典型2名，兑换诚信积分20余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"/>
        </w:rPr>
        <w:t>（三）坚持氛围营造，建好普法宣传“主阵地”。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一是聚焦重点，推进好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法治政府创建工作。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线上推送了法治政府创建工作动态、学习资料等内容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2次，张贴相关宣传页和标语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00张，悬挂宣传横幅150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条，发放致全体市民的一封信宣传彩页8000张，营造法治政府创建的良好氛围。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是汇聚热点，开展好“大普法”活动。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坚持以“法律六进”为依托，分类宣教、突出重点、务求实效。利用“4.15国家安全教育日”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诚信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防诈宣传进社区，财产安全有保障</w:t>
      </w:r>
      <w:r>
        <w:rPr>
          <w:rFonts w:ascii="Times New Roman" w:hAnsi="Times New Roman" w:eastAsia="仿宋_GB2312"/>
          <w:sz w:val="32"/>
          <w:szCs w:val="32"/>
        </w:rPr>
        <w:t>”“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3.8妇女节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美好生活，法典相伴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”等主题宣传，组织开展送法进社区、进机关、进学校等系列普法宣传活动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</w:t>
      </w:r>
      <w:r>
        <w:rPr>
          <w:rFonts w:ascii="Times New Roman" w:hAnsi="Times New Roman" w:eastAsia="仿宋_GB2312"/>
          <w:sz w:val="32"/>
          <w:szCs w:val="32"/>
        </w:rPr>
        <w:t>发放各类宣传资料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000余份，提供咨询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300</w:t>
      </w:r>
      <w:r>
        <w:rPr>
          <w:rFonts w:ascii="Times New Roman" w:hAnsi="Times New Roman" w:eastAsia="仿宋_GB2312"/>
          <w:sz w:val="32"/>
          <w:szCs w:val="32"/>
        </w:rPr>
        <w:t>余人次。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是打造亮点，抓好法治文化阵地建设。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以“民主法治示范村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（居）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”创建为契机，在水塔街社区高规格打造法治文化广场、公共法律服务工作站和“如家调解室”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；在新华社区打造VR普法宣传阵地、民法典宣传小屋；对龙潭社区法治文化广场进行升级改造，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夯实基层社会治理法治根基。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二、存在问题</w:t>
      </w:r>
    </w:p>
    <w:p>
      <w:pPr>
        <w:pStyle w:val="2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过去一年，临城街道办事处在法治政府建设工作取得了显著的成绩，但也仍然存在一定不足：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一是个别行政执法人员执法水平有待进一步提升。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一些行政执法人员的业务水平、知识结构和处理复杂问题的能力有待提高，执法的说理性还不够强，执法不严、执法不公、执法行为不文明等问题还不同程度存在。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二是对重点对象的普法教育缺乏广度和深度。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对学校、农村、企业等法治宣传工作深度不一，普法工作存在“盲点”和“死角”，特别是对流动人口、无业人员等重点人群的普法教育问题上认识不高、宣传渠道不畅。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三是预防和打击新型犯罪举措有待进一步创新。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随着市场经济的不断发展，犯罪的手段、动机及智能化程度不断变化，日趋复杂的社会治安形势给法治工作带来了新的挑战。打击工作面临数据分散、统筹不够、合力不足等“非对称性”难题，预防和打击新型犯罪举措有待进一步创新。</w:t>
      </w: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（一）进一步完善健全工作机制。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坚持用制度管人、管事，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不断建立健全街道法治考核制度和执法人员法律知识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学习培训制度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通过定期集中培训、以会代训、自主学习、定期考核等形式，加大监督考核力度，让执法人员尽快熟练掌握法律法规知识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，提升业务工作水平。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（二）进一步强化法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治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宣传教育。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建立健全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“横向到边、纵向到底”的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法治宣传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格局，将横幅标语、讲座培训、入户沟通等传统方式与短视频、朋友圈、微信群等新媒体渠道相结合，聚焦子女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赡养、邻里关系、房产矛盾等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人民群众喜闻乐见的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信息，针对性开展好普法宣传教育。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（三）进一步</w:t>
      </w:r>
      <w:r>
        <w:rPr>
          <w:rFonts w:hint="eastAsia" w:eastAsia="楷体_GB2312" w:cs="Times New Roman"/>
          <w:color w:val="auto"/>
          <w:kern w:val="0"/>
          <w:sz w:val="32"/>
          <w:szCs w:val="32"/>
          <w:lang w:val="en-US" w:eastAsia="zh-CN" w:bidi="ar"/>
        </w:rPr>
        <w:t>推进</w:t>
      </w:r>
      <w:r>
        <w:rPr>
          <w:rFonts w:hint="eastAsia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法治政府建设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把法治政府建设纳入街道经济和社会发展规划，形成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党工委统一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部署，各部门齐抓共管、密切配合、各负其责的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法治建设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工作格局。持续加大干部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队伍法治建设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和党风廉政教育，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在回迁安置、信访维稳等一线工作中锤炼出法治素养高的基层队伍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right"/>
        <w:textAlignment w:val="auto"/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临城街道办事处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2024年3月7日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mRiNzEzM2FmZWQxOGMwMzc0ZTAyNTU5YzNjZmMifQ=="/>
  </w:docVars>
  <w:rsids>
    <w:rsidRoot w:val="60DA0725"/>
    <w:rsid w:val="024B6E08"/>
    <w:rsid w:val="036A7BDD"/>
    <w:rsid w:val="03B24C65"/>
    <w:rsid w:val="087E15BA"/>
    <w:rsid w:val="0B971310"/>
    <w:rsid w:val="135F688D"/>
    <w:rsid w:val="15A94E95"/>
    <w:rsid w:val="1AC55BC3"/>
    <w:rsid w:val="1C5A71A5"/>
    <w:rsid w:val="1FF06EEA"/>
    <w:rsid w:val="2E871EC5"/>
    <w:rsid w:val="386341A5"/>
    <w:rsid w:val="3C187054"/>
    <w:rsid w:val="45EC45A1"/>
    <w:rsid w:val="484511D1"/>
    <w:rsid w:val="4B571947"/>
    <w:rsid w:val="4BF52F0E"/>
    <w:rsid w:val="4EBC7D13"/>
    <w:rsid w:val="500876B4"/>
    <w:rsid w:val="51622DF4"/>
    <w:rsid w:val="5D577EB6"/>
    <w:rsid w:val="60DA0725"/>
    <w:rsid w:val="6F885CC3"/>
    <w:rsid w:val="70052A03"/>
    <w:rsid w:val="72B55021"/>
    <w:rsid w:val="72BA2638"/>
    <w:rsid w:val="72F21DD2"/>
    <w:rsid w:val="76D4359C"/>
    <w:rsid w:val="791D3BDB"/>
    <w:rsid w:val="7A0B5527"/>
    <w:rsid w:val="7C94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autoRedefine/>
    <w:unhideWhenUsed/>
    <w:qFormat/>
    <w:uiPriority w:val="0"/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Body Text First Indent 21"/>
    <w:basedOn w:val="9"/>
    <w:autoRedefine/>
    <w:qFormat/>
    <w:uiPriority w:val="0"/>
    <w:pPr>
      <w:ind w:firstLine="420"/>
    </w:pPr>
  </w:style>
  <w:style w:type="paragraph" w:customStyle="1" w:styleId="9">
    <w:name w:val="Body Text Indent1"/>
    <w:basedOn w:val="1"/>
    <w:autoRedefine/>
    <w:qFormat/>
    <w:uiPriority w:val="0"/>
    <w:pPr>
      <w:ind w:left="420" w:left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1721</Words>
  <Characters>1770</Characters>
  <Lines>0</Lines>
  <Paragraphs>0</Paragraphs>
  <TotalTime>1</TotalTime>
  <ScaleCrop>false</ScaleCrop>
  <LinksUpToDate>false</LinksUpToDate>
  <CharactersWithSpaces>1771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2023-07-04T01:24:00Z</dcterms:created>
  <dc:creator>南城以北。</dc:creator>
  <cp:lastModifiedBy>86182</cp:lastModifiedBy>
  <cp:lastPrinted>2024-03-07T08:08:00Z</cp:lastPrinted>
  <dcterms:modified xsi:type="dcterms:W3CDTF">2024-03-07T09:16:19Z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2285B1DB572A43B59E1A3B29EAC79A99_13</vt:lpwstr>
  </property>
</Properties>
</file>